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0CB9A4F1" w:rsidR="00E203C2" w:rsidRPr="00E50AC6" w:rsidRDefault="00E203C2" w:rsidP="00CF19B2">
      <w:r>
        <w:rPr>
          <w:noProof/>
          <w:lang w:eastAsia="en-GB" w:bidi="ar-SA"/>
        </w:rPr>
        <w:drawing>
          <wp:inline distT="0" distB="0" distL="0" distR="0" wp14:anchorId="53705D84" wp14:editId="48F96A0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r w:rsidR="00CF19B2">
        <w:tab/>
      </w:r>
    </w:p>
    <w:p w14:paraId="527CB74D" w14:textId="45582733" w:rsidR="00CF19B2" w:rsidRDefault="00CF19B2" w:rsidP="00CF19B2">
      <w:pPr>
        <w:rPr>
          <w:b/>
          <w:color w:val="FF0000"/>
          <w:sz w:val="28"/>
          <w:szCs w:val="28"/>
        </w:rPr>
      </w:pPr>
    </w:p>
    <w:p w14:paraId="52BA9928" w14:textId="32D4C2B1" w:rsidR="00CA641D" w:rsidRPr="00DA1D23" w:rsidRDefault="00DA1D23" w:rsidP="00CA641D">
      <w:pPr>
        <w:rPr>
          <w:b/>
          <w:sz w:val="28"/>
          <w:szCs w:val="28"/>
        </w:rPr>
      </w:pPr>
      <w:bookmarkStart w:id="0" w:name="_GoBack"/>
      <w:r w:rsidRPr="00DA1D23">
        <w:rPr>
          <w:b/>
          <w:sz w:val="28"/>
          <w:szCs w:val="28"/>
        </w:rPr>
        <w:t>12 May 2021</w:t>
      </w:r>
    </w:p>
    <w:p w14:paraId="273DC9CF" w14:textId="42AEE991" w:rsidR="00DA1D23" w:rsidRPr="00DA1D23" w:rsidRDefault="00DA1D23" w:rsidP="00CA641D">
      <w:pPr>
        <w:rPr>
          <w:b/>
          <w:sz w:val="28"/>
          <w:szCs w:val="28"/>
        </w:rPr>
      </w:pPr>
      <w:r w:rsidRPr="00DA1D23">
        <w:rPr>
          <w:b/>
          <w:sz w:val="28"/>
          <w:szCs w:val="28"/>
        </w:rPr>
        <w:t>155-21</w:t>
      </w:r>
    </w:p>
    <w:bookmarkEnd w:id="0"/>
    <w:p w14:paraId="5B92753D" w14:textId="20F9161E" w:rsidR="0057615C" w:rsidRPr="0057615C" w:rsidRDefault="0057615C" w:rsidP="00690206">
      <w:pPr>
        <w:pStyle w:val="FSTitle"/>
        <w:rPr>
          <w:b/>
          <w:sz w:val="22"/>
        </w:rPr>
      </w:pPr>
    </w:p>
    <w:p w14:paraId="1CA8799B" w14:textId="54B226C8"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D75DAD">
        <w:rPr>
          <w:b/>
        </w:rPr>
        <w:t>1</w:t>
      </w:r>
    </w:p>
    <w:p w14:paraId="064DFDFD" w14:textId="77777777" w:rsidR="00BA24E2" w:rsidRDefault="00BA24E2" w:rsidP="00E203C2"/>
    <w:p w14:paraId="79157BBE" w14:textId="740DC102" w:rsidR="00D056F1" w:rsidRPr="00D75DAD" w:rsidRDefault="00D75DAD" w:rsidP="00690206">
      <w:pPr>
        <w:pStyle w:val="FSTitle"/>
      </w:pPr>
      <w:r w:rsidRPr="00D75DAD">
        <w:t>Risk and technical assessment report</w:t>
      </w:r>
      <w:r w:rsidR="006B5EBE" w:rsidRPr="00D75DAD">
        <w:t xml:space="preserve"> – </w:t>
      </w:r>
      <w:r w:rsidR="00D056F1" w:rsidRPr="00D75DAD">
        <w:t>A</w:t>
      </w:r>
      <w:r w:rsidR="00B12F1E" w:rsidRPr="00D75DAD">
        <w:t>pplication</w:t>
      </w:r>
      <w:r w:rsidR="002C25C5" w:rsidRPr="00D75DAD">
        <w:t xml:space="preserve"> </w:t>
      </w:r>
      <w:r w:rsidR="00D056F1" w:rsidRPr="00D75DAD">
        <w:t>A</w:t>
      </w:r>
      <w:r w:rsidR="002C25C5" w:rsidRPr="00D75DAD">
        <w:t>1206</w:t>
      </w:r>
    </w:p>
    <w:p w14:paraId="48392800" w14:textId="77777777" w:rsidR="00E203C2" w:rsidRPr="00690206" w:rsidRDefault="00E203C2" w:rsidP="00690206"/>
    <w:p w14:paraId="53C06B21" w14:textId="116267CC" w:rsidR="00D056F1" w:rsidRPr="002C25C5" w:rsidRDefault="002C25C5" w:rsidP="00690206">
      <w:pPr>
        <w:pStyle w:val="FSTitle"/>
      </w:pPr>
      <w:r w:rsidRPr="002C25C5">
        <w:t xml:space="preserve">Subtilisin from GM </w:t>
      </w:r>
      <w:r w:rsidRPr="002C25C5">
        <w:rPr>
          <w:i/>
        </w:rPr>
        <w:t>Bacillus licheniformis</w:t>
      </w:r>
      <w:r w:rsidRPr="002C25C5">
        <w:t xml:space="preserve"> as a processing aid (enzyme)</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77777777" w:rsidR="00092CDA" w:rsidRPr="00092CDA" w:rsidRDefault="00092CDA" w:rsidP="00352CF2">
      <w:pPr>
        <w:pStyle w:val="Heading1"/>
        <w:spacing w:before="0"/>
      </w:pPr>
      <w:bookmarkStart w:id="1" w:name="_Toc286391001"/>
      <w:bookmarkStart w:id="2" w:name="_Toc300933414"/>
      <w:bookmarkStart w:id="3" w:name="_Toc53649908"/>
      <w:bookmarkStart w:id="4" w:name="_Toc71123612"/>
      <w:r w:rsidRPr="00092CDA">
        <w:t xml:space="preserve">Executive </w:t>
      </w:r>
      <w:r w:rsidR="00B12F1E">
        <w:t>s</w:t>
      </w:r>
      <w:r w:rsidRPr="00092CDA">
        <w:t>ummary</w:t>
      </w:r>
      <w:bookmarkEnd w:id="1"/>
      <w:bookmarkEnd w:id="2"/>
      <w:bookmarkEnd w:id="3"/>
      <w:bookmarkEnd w:id="4"/>
    </w:p>
    <w:p w14:paraId="38D495AB" w14:textId="38F667E8" w:rsidR="009E0B40" w:rsidRDefault="009E0B40" w:rsidP="009E0B40">
      <w:r>
        <w:t xml:space="preserve">Novozymes applied to Food Standards Australia New Zealand (FSANZ) to amend </w:t>
      </w:r>
      <w:r w:rsidRPr="00A12D81">
        <w:t xml:space="preserve">Schedule 18 – Processing Aids of the Australia New Zealand Food Standards Code (the Code) </w:t>
      </w:r>
      <w:r>
        <w:t>t</w:t>
      </w:r>
      <w:r w:rsidRPr="00475A54">
        <w:t xml:space="preserve">o permit the use of </w:t>
      </w:r>
      <w:r>
        <w:t xml:space="preserve">the enzyme </w:t>
      </w:r>
      <w:r w:rsidRPr="00475A54">
        <w:t xml:space="preserve">subtilisin from a genetically modified </w:t>
      </w:r>
      <w:r w:rsidR="00175CB9">
        <w:t xml:space="preserve">(GM) </w:t>
      </w:r>
      <w:r w:rsidRPr="00475A54">
        <w:t xml:space="preserve">strain of </w:t>
      </w:r>
      <w:r w:rsidRPr="00B05CCA">
        <w:rPr>
          <w:i/>
        </w:rPr>
        <w:t>Bacillus licheniformis</w:t>
      </w:r>
      <w:r w:rsidRPr="00475A54">
        <w:t xml:space="preserve"> containing the subtilisin gene from </w:t>
      </w:r>
      <w:r w:rsidRPr="00B05CCA">
        <w:rPr>
          <w:i/>
        </w:rPr>
        <w:t>Pyrococcus furiosus</w:t>
      </w:r>
      <w:r w:rsidRPr="00475A54">
        <w:t xml:space="preserve">, as a processing aid in the production of potable alcohol. </w:t>
      </w:r>
      <w:r>
        <w:t xml:space="preserve">Subtilisin would be used </w:t>
      </w:r>
      <w:r w:rsidR="003D2D87">
        <w:t xml:space="preserve">at the </w:t>
      </w:r>
      <w:r w:rsidRPr="004667C3">
        <w:t>minimum levels necessary to achieve the desired effect and according to requirements for normal production following G</w:t>
      </w:r>
      <w:r>
        <w:t xml:space="preserve">ood </w:t>
      </w:r>
      <w:r w:rsidRPr="004667C3">
        <w:t>M</w:t>
      </w:r>
      <w:r>
        <w:t xml:space="preserve">anufacturing </w:t>
      </w:r>
      <w:r w:rsidR="009B6659">
        <w:t>Prac</w:t>
      </w:r>
      <w:r w:rsidR="00B20D87">
        <w:t>tice</w:t>
      </w:r>
      <w:r w:rsidR="009B6659">
        <w:t xml:space="preserve"> </w:t>
      </w:r>
      <w:r>
        <w:t>(GMP)</w:t>
      </w:r>
      <w:r w:rsidRPr="004667C3">
        <w:t>.</w:t>
      </w:r>
    </w:p>
    <w:p w14:paraId="5B171FD0" w14:textId="77777777" w:rsidR="009E0B40" w:rsidRDefault="009E0B40" w:rsidP="009E0B40"/>
    <w:p w14:paraId="3C41904E" w14:textId="3CB608FC" w:rsidR="00475A54" w:rsidRDefault="009E0B40" w:rsidP="009E0B40">
      <w:r>
        <w:t xml:space="preserve">FSANZ has undertaken an assessment to determine whether the enzyme achieves its technological function in the quantity and form proposed to be used and to evaluate public health and safety concerns that may arise from the use of this enzyme. </w:t>
      </w:r>
    </w:p>
    <w:p w14:paraId="2BDCBE30" w14:textId="3DD8ED79" w:rsidR="009E0B40" w:rsidRDefault="009E0B40" w:rsidP="009E0B40"/>
    <w:p w14:paraId="5FA0264D" w14:textId="64D05927" w:rsidR="009E0B40" w:rsidRDefault="009E0B40" w:rsidP="009E0B40">
      <w:pPr>
        <w:rPr>
          <w:lang w:bidi="ar-SA"/>
        </w:rPr>
      </w:pPr>
      <w:r>
        <w:rPr>
          <w:lang w:bidi="ar-SA"/>
        </w:rPr>
        <w:t>FSANZ concludes that the proposed use of this subtilisin as an enzyme processing aid in potable alcohol production, in the quantity and form proposed to be</w:t>
      </w:r>
      <w:r w:rsidR="00BA22CD">
        <w:rPr>
          <w:lang w:bidi="ar-SA"/>
        </w:rPr>
        <w:t xml:space="preserve"> used</w:t>
      </w:r>
      <w:r>
        <w:rPr>
          <w:lang w:bidi="ar-SA"/>
        </w:rPr>
        <w:t>, is consistent with its typical function of hydrolysing proteins. Subtilisin performs its technological purpose during production of potable alcohol and is not performing a technological function in the final food, therefore functioning as a processing aid as defined in the Code.</w:t>
      </w:r>
      <w:r w:rsidRPr="009E0B40">
        <w:rPr>
          <w:lang w:bidi="ar-SA"/>
        </w:rPr>
        <w:t xml:space="preserve"> </w:t>
      </w:r>
      <w:r>
        <w:rPr>
          <w:lang w:bidi="ar-SA"/>
        </w:rPr>
        <w:t>The enzyme meets relevant identity and purity specifications.</w:t>
      </w:r>
    </w:p>
    <w:p w14:paraId="302AFA7D" w14:textId="77777777" w:rsidR="00475A54" w:rsidRDefault="00475A54" w:rsidP="00690206"/>
    <w:p w14:paraId="008BB6AE" w14:textId="7AF26ABA" w:rsidR="00424B5C" w:rsidRDefault="00CB09AC" w:rsidP="00A9548F">
      <w:pPr>
        <w:rPr>
          <w:lang w:bidi="ar-SA"/>
        </w:rPr>
      </w:pPr>
      <w:r w:rsidRPr="006B7019">
        <w:rPr>
          <w:lang w:bidi="ar-SA"/>
        </w:rPr>
        <w:t>The safety assessment concluded that the use of the enzyme under the proposed conditions is safe.</w:t>
      </w:r>
      <w:r w:rsidR="00424B5C">
        <w:rPr>
          <w:lang w:bidi="ar-SA"/>
        </w:rPr>
        <w:t xml:space="preserve"> </w:t>
      </w:r>
      <w:r w:rsidR="00A9548F">
        <w:rPr>
          <w:i/>
          <w:lang w:bidi="ar-SA"/>
        </w:rPr>
        <w:t>B. licheniformis</w:t>
      </w:r>
      <w:r w:rsidR="00A9548F" w:rsidRPr="0041182E">
        <w:rPr>
          <w:lang w:bidi="ar-SA"/>
        </w:rPr>
        <w:t xml:space="preserve"> h</w:t>
      </w:r>
      <w:r w:rsidR="00A9548F">
        <w:rPr>
          <w:lang w:bidi="ar-SA"/>
        </w:rPr>
        <w:t>as a long history of safe use as a</w:t>
      </w:r>
      <w:r w:rsidR="00A9548F" w:rsidRPr="0041182E">
        <w:rPr>
          <w:lang w:bidi="ar-SA"/>
        </w:rPr>
        <w:t xml:space="preserve"> source </w:t>
      </w:r>
      <w:r w:rsidR="00A9548F">
        <w:rPr>
          <w:lang w:bidi="ar-SA"/>
        </w:rPr>
        <w:t xml:space="preserve">microorganism </w:t>
      </w:r>
      <w:r w:rsidR="00A9548F" w:rsidRPr="0041182E">
        <w:rPr>
          <w:lang w:bidi="ar-SA"/>
        </w:rPr>
        <w:t>of enzyme processing aids, including several that are already permitted in the Code. Th</w:t>
      </w:r>
      <w:r w:rsidR="00A9548F">
        <w:rPr>
          <w:lang w:bidi="ar-SA"/>
        </w:rPr>
        <w:t>e</w:t>
      </w:r>
      <w:r w:rsidR="00A9548F" w:rsidRPr="0041182E">
        <w:rPr>
          <w:lang w:bidi="ar-SA"/>
        </w:rPr>
        <w:t xml:space="preserve"> </w:t>
      </w:r>
      <w:r w:rsidR="00A9548F">
        <w:rPr>
          <w:lang w:bidi="ar-SA"/>
        </w:rPr>
        <w:t>bacterium</w:t>
      </w:r>
      <w:r w:rsidR="00A9548F" w:rsidRPr="0041182E">
        <w:rPr>
          <w:lang w:bidi="ar-SA"/>
        </w:rPr>
        <w:t xml:space="preserve"> is neither toxigenic nor pathogenic. Characterisation of the </w:t>
      </w:r>
      <w:r w:rsidR="00A9548F">
        <w:rPr>
          <w:lang w:bidi="ar-SA"/>
        </w:rPr>
        <w:t>GM</w:t>
      </w:r>
      <w:r w:rsidR="00A9548F" w:rsidRPr="0041182E">
        <w:rPr>
          <w:lang w:bidi="ar-SA"/>
        </w:rPr>
        <w:t xml:space="preserve"> production strain</w:t>
      </w:r>
      <w:r w:rsidR="00A9548F">
        <w:rPr>
          <w:lang w:bidi="ar-SA"/>
        </w:rPr>
        <w:t xml:space="preserve"> </w:t>
      </w:r>
      <w:r w:rsidR="00A9548F" w:rsidRPr="0041182E">
        <w:rPr>
          <w:lang w:bidi="ar-SA"/>
        </w:rPr>
        <w:t xml:space="preserve">confirmed </w:t>
      </w:r>
      <w:r w:rsidR="00A9548F">
        <w:rPr>
          <w:lang w:bidi="ar-SA"/>
        </w:rPr>
        <w:t xml:space="preserve">both </w:t>
      </w:r>
      <w:r w:rsidR="00A9548F" w:rsidRPr="0041182E">
        <w:rPr>
          <w:lang w:bidi="ar-SA"/>
        </w:rPr>
        <w:t xml:space="preserve">presence and </w:t>
      </w:r>
      <w:r w:rsidR="00A9548F">
        <w:rPr>
          <w:lang w:bidi="ar-SA"/>
        </w:rPr>
        <w:t xml:space="preserve">stable </w:t>
      </w:r>
      <w:r w:rsidR="00A9548F" w:rsidRPr="0041182E">
        <w:rPr>
          <w:lang w:bidi="ar-SA"/>
        </w:rPr>
        <w:t xml:space="preserve">inheritance of the inserted </w:t>
      </w:r>
      <w:r w:rsidR="00A9548F">
        <w:rPr>
          <w:lang w:bidi="ar-SA"/>
        </w:rPr>
        <w:t>subtilisin</w:t>
      </w:r>
      <w:r w:rsidR="00A9548F" w:rsidRPr="0041182E">
        <w:rPr>
          <w:lang w:bidi="ar-SA"/>
        </w:rPr>
        <w:t xml:space="preserve"> gene.</w:t>
      </w:r>
    </w:p>
    <w:p w14:paraId="74FB7C0D" w14:textId="04973D9C" w:rsidR="00A9548F" w:rsidRDefault="00A9548F" w:rsidP="00A9548F">
      <w:pPr>
        <w:rPr>
          <w:lang w:bidi="ar-SA"/>
        </w:rPr>
      </w:pPr>
    </w:p>
    <w:p w14:paraId="01142286" w14:textId="5F79A0CE" w:rsidR="00281237" w:rsidRDefault="00281237" w:rsidP="00281237">
      <w:pPr>
        <w:rPr>
          <w:rFonts w:eastAsiaTheme="minorHAnsi" w:cstheme="minorBidi"/>
          <w:szCs w:val="22"/>
          <w:lang w:val="en-US" w:eastAsia="en-AU" w:bidi="ar-SA"/>
        </w:rPr>
      </w:pPr>
      <w:r>
        <w:rPr>
          <w:rFonts w:eastAsiaTheme="minorHAnsi" w:cstheme="minorBidi"/>
          <w:szCs w:val="22"/>
          <w:lang w:val="en-US" w:eastAsia="en-AU" w:bidi="ar-SA"/>
        </w:rPr>
        <w:t xml:space="preserve">The applicant provided a 13-week toxicity study in rats and </w:t>
      </w:r>
      <w:r w:rsidRPr="005D7C80">
        <w:rPr>
          <w:rFonts w:eastAsiaTheme="minorHAnsi" w:cstheme="minorBidi"/>
          <w:i/>
          <w:szCs w:val="22"/>
          <w:lang w:val="en-US" w:eastAsia="en-AU" w:bidi="ar-SA"/>
        </w:rPr>
        <w:t>in vitro</w:t>
      </w:r>
      <w:r>
        <w:rPr>
          <w:rFonts w:eastAsiaTheme="minorHAnsi" w:cstheme="minorBidi"/>
          <w:szCs w:val="22"/>
          <w:lang w:val="en-US" w:eastAsia="en-AU" w:bidi="ar-SA"/>
        </w:rPr>
        <w:t xml:space="preserve"> genotoxicity studies with an </w:t>
      </w:r>
      <w:r>
        <w:rPr>
          <w:rFonts w:eastAsiaTheme="minorHAnsi" w:cs="Arial"/>
          <w:szCs w:val="22"/>
          <w:lang w:val="en-US" w:eastAsia="en-AU" w:bidi="ar-SA"/>
        </w:rPr>
        <w:t>α</w:t>
      </w:r>
      <w:r>
        <w:rPr>
          <w:rFonts w:eastAsiaTheme="minorHAnsi" w:cstheme="minorBidi"/>
          <w:szCs w:val="22"/>
          <w:lang w:val="en-US" w:eastAsia="en-AU" w:bidi="ar-SA"/>
        </w:rPr>
        <w:t xml:space="preserve">-amylase produced by a closely related predecessor strain of the </w:t>
      </w:r>
      <w:r w:rsidR="0029371D">
        <w:rPr>
          <w:rFonts w:eastAsiaTheme="minorHAnsi" w:cstheme="minorBidi"/>
          <w:szCs w:val="22"/>
          <w:lang w:val="en-US" w:eastAsia="en-AU" w:bidi="ar-SA"/>
        </w:rPr>
        <w:t xml:space="preserve">subtilisin </w:t>
      </w:r>
      <w:r>
        <w:rPr>
          <w:rFonts w:eastAsiaTheme="minorHAnsi" w:cstheme="minorBidi"/>
          <w:szCs w:val="22"/>
          <w:lang w:val="en-US" w:eastAsia="en-AU" w:bidi="ar-SA"/>
        </w:rPr>
        <w:t>production strain. This</w:t>
      </w:r>
      <w:r w:rsidRPr="00476C76">
        <w:rPr>
          <w:rFonts w:eastAsiaTheme="minorHAnsi" w:cstheme="minorBidi"/>
          <w:szCs w:val="22"/>
          <w:lang w:val="en-US" w:eastAsia="en-AU" w:bidi="ar-SA"/>
        </w:rPr>
        <w:t xml:space="preserve"> </w:t>
      </w:r>
      <w:r>
        <w:rPr>
          <w:rFonts w:eastAsiaTheme="minorHAnsi" w:cs="Arial"/>
          <w:szCs w:val="22"/>
          <w:lang w:val="en-US" w:eastAsia="en-AU" w:bidi="ar-SA"/>
        </w:rPr>
        <w:t>α</w:t>
      </w:r>
      <w:r w:rsidRPr="00476C76">
        <w:rPr>
          <w:rFonts w:eastAsiaTheme="minorHAnsi" w:cstheme="minorBidi"/>
          <w:szCs w:val="22"/>
          <w:lang w:val="en-US" w:eastAsia="en-AU" w:bidi="ar-SA"/>
        </w:rPr>
        <w:t>-amylase was chosen as most appropriate</w:t>
      </w:r>
      <w:r>
        <w:rPr>
          <w:rFonts w:eastAsiaTheme="minorHAnsi" w:cstheme="minorBidi"/>
          <w:szCs w:val="22"/>
          <w:lang w:val="en-US" w:eastAsia="en-AU" w:bidi="ar-SA"/>
        </w:rPr>
        <w:t xml:space="preserve"> for assessment of subtilisin</w:t>
      </w:r>
      <w:r w:rsidRPr="00476C76">
        <w:rPr>
          <w:rFonts w:eastAsiaTheme="minorHAnsi" w:cstheme="minorBidi"/>
          <w:szCs w:val="22"/>
          <w:lang w:val="en-US" w:eastAsia="en-AU" w:bidi="ar-SA"/>
        </w:rPr>
        <w:t>, because</w:t>
      </w:r>
      <w:r>
        <w:rPr>
          <w:rFonts w:eastAsiaTheme="minorHAnsi" w:cstheme="minorBidi"/>
          <w:szCs w:val="22"/>
          <w:lang w:val="en-US" w:eastAsia="en-AU" w:bidi="ar-SA"/>
        </w:rPr>
        <w:t xml:space="preserve"> t</w:t>
      </w:r>
      <w:r w:rsidRPr="00476C76">
        <w:rPr>
          <w:rFonts w:eastAsiaTheme="minorHAnsi" w:cstheme="minorBidi"/>
          <w:szCs w:val="22"/>
          <w:lang w:val="en-US" w:eastAsia="en-AU" w:bidi="ar-SA"/>
        </w:rPr>
        <w:t>he</w:t>
      </w:r>
      <w:r>
        <w:rPr>
          <w:rFonts w:eastAsiaTheme="minorHAnsi" w:cstheme="minorBidi"/>
          <w:szCs w:val="22"/>
          <w:lang w:val="en-US" w:eastAsia="en-AU" w:bidi="ar-SA"/>
        </w:rPr>
        <w:t xml:space="preserve"> recipient strain of the</w:t>
      </w:r>
      <w:r w:rsidRPr="00476C76">
        <w:rPr>
          <w:rFonts w:eastAsiaTheme="minorHAnsi" w:cstheme="minorBidi"/>
          <w:szCs w:val="22"/>
          <w:lang w:val="en-US" w:eastAsia="en-AU" w:bidi="ar-SA"/>
        </w:rPr>
        <w:t xml:space="preserve"> </w:t>
      </w:r>
      <w:r>
        <w:rPr>
          <w:rFonts w:eastAsiaTheme="minorHAnsi" w:cs="Arial"/>
          <w:szCs w:val="22"/>
          <w:lang w:val="en-US" w:eastAsia="en-AU" w:bidi="ar-SA"/>
        </w:rPr>
        <w:t>α</w:t>
      </w:r>
      <w:r w:rsidRPr="00476C76">
        <w:rPr>
          <w:rFonts w:eastAsiaTheme="minorHAnsi" w:cstheme="minorBidi"/>
          <w:szCs w:val="22"/>
          <w:lang w:val="en-US" w:eastAsia="en-AU" w:bidi="ar-SA"/>
        </w:rPr>
        <w:t xml:space="preserve">-amylase </w:t>
      </w:r>
      <w:r>
        <w:rPr>
          <w:rFonts w:eastAsiaTheme="minorHAnsi" w:cstheme="minorBidi"/>
          <w:szCs w:val="22"/>
          <w:lang w:val="en-US" w:eastAsia="en-AU" w:bidi="ar-SA"/>
        </w:rPr>
        <w:t xml:space="preserve">production strain </w:t>
      </w:r>
      <w:r w:rsidRPr="00476C76">
        <w:rPr>
          <w:rFonts w:eastAsiaTheme="minorHAnsi" w:cstheme="minorBidi"/>
          <w:szCs w:val="22"/>
          <w:lang w:val="en-US" w:eastAsia="en-AU" w:bidi="ar-SA"/>
        </w:rPr>
        <w:t>is identical to the one for the subtilisin production strain</w:t>
      </w:r>
      <w:r>
        <w:rPr>
          <w:rFonts w:eastAsiaTheme="minorHAnsi" w:cstheme="minorBidi"/>
          <w:szCs w:val="22"/>
          <w:lang w:val="en-US" w:eastAsia="en-AU" w:bidi="ar-SA"/>
        </w:rPr>
        <w:t xml:space="preserve">, and the </w:t>
      </w:r>
      <w:r w:rsidRPr="00476C76">
        <w:rPr>
          <w:rFonts w:eastAsiaTheme="minorHAnsi" w:cstheme="minorBidi"/>
          <w:szCs w:val="22"/>
          <w:lang w:val="en-US" w:eastAsia="en-AU" w:bidi="ar-SA"/>
        </w:rPr>
        <w:t>method used to insert the DNA is identical to the one described for the construction of the subtilisin producti</w:t>
      </w:r>
      <w:r>
        <w:rPr>
          <w:rFonts w:eastAsiaTheme="minorHAnsi" w:cstheme="minorBidi"/>
          <w:szCs w:val="22"/>
          <w:lang w:val="en-US" w:eastAsia="en-AU" w:bidi="ar-SA"/>
        </w:rPr>
        <w:t>on strain</w:t>
      </w:r>
      <w:r w:rsidRPr="00D35739">
        <w:rPr>
          <w:rFonts w:eastAsiaTheme="minorHAnsi" w:cstheme="minorBidi"/>
          <w:szCs w:val="22"/>
          <w:lang w:val="en-US" w:eastAsia="en-AU" w:bidi="ar-SA"/>
        </w:rPr>
        <w:t>.</w:t>
      </w:r>
      <w:r>
        <w:rPr>
          <w:rFonts w:eastAsiaTheme="minorHAnsi" w:cstheme="minorBidi"/>
          <w:szCs w:val="22"/>
          <w:lang w:val="en-US" w:eastAsia="en-AU" w:bidi="ar-SA"/>
        </w:rPr>
        <w:t xml:space="preserve"> </w:t>
      </w:r>
      <w:r w:rsidRPr="001B327D">
        <w:rPr>
          <w:rFonts w:eastAsiaTheme="minorHAnsi" w:cstheme="minorBidi"/>
          <w:szCs w:val="22"/>
          <w:lang w:val="en-US" w:eastAsia="en-AU" w:bidi="ar-SA"/>
        </w:rPr>
        <w:t xml:space="preserve">The α-amylase was not genotoxic </w:t>
      </w:r>
      <w:r w:rsidRPr="00EE55D8">
        <w:rPr>
          <w:rFonts w:eastAsiaTheme="minorHAnsi" w:cstheme="minorBidi"/>
          <w:i/>
          <w:szCs w:val="22"/>
          <w:lang w:val="en-US" w:eastAsia="en-AU" w:bidi="ar-SA"/>
        </w:rPr>
        <w:t>in vitro</w:t>
      </w:r>
      <w:r w:rsidRPr="001B327D">
        <w:rPr>
          <w:rFonts w:eastAsiaTheme="minorHAnsi" w:cstheme="minorBidi"/>
          <w:szCs w:val="22"/>
          <w:lang w:val="en-US" w:eastAsia="en-AU" w:bidi="ar-SA"/>
        </w:rPr>
        <w:t xml:space="preserve"> and caused no adverse effects in a 13-week toxicity study in rats. The </w:t>
      </w:r>
      <w:r w:rsidR="00194F1A">
        <w:rPr>
          <w:rFonts w:eastAsiaTheme="minorHAnsi" w:cstheme="minorBidi"/>
          <w:szCs w:val="22"/>
          <w:lang w:val="en-US" w:eastAsia="en-AU" w:bidi="ar-SA"/>
        </w:rPr>
        <w:t>no observed adverse effect level (</w:t>
      </w:r>
      <w:r w:rsidRPr="001B327D">
        <w:rPr>
          <w:rFonts w:eastAsiaTheme="minorHAnsi" w:cstheme="minorBidi"/>
          <w:szCs w:val="22"/>
          <w:lang w:val="en-US" w:eastAsia="en-AU" w:bidi="ar-SA"/>
        </w:rPr>
        <w:t>NOAEL</w:t>
      </w:r>
      <w:r w:rsidR="00194F1A">
        <w:rPr>
          <w:rFonts w:eastAsiaTheme="minorHAnsi" w:cstheme="minorBidi"/>
          <w:szCs w:val="22"/>
          <w:lang w:val="en-US" w:eastAsia="en-AU" w:bidi="ar-SA"/>
        </w:rPr>
        <w:t>)</w:t>
      </w:r>
      <w:r w:rsidRPr="001B327D">
        <w:rPr>
          <w:rFonts w:eastAsiaTheme="minorHAnsi" w:cstheme="minorBidi"/>
          <w:szCs w:val="22"/>
          <w:lang w:val="en-US" w:eastAsia="en-AU" w:bidi="ar-SA"/>
        </w:rPr>
        <w:t xml:space="preserve"> was 796 mg/kg bw/day total organic solids (TOS), the highest dose tested.</w:t>
      </w:r>
    </w:p>
    <w:p w14:paraId="392339A0" w14:textId="11D553A3" w:rsidR="00281237" w:rsidRDefault="00281237" w:rsidP="00A9548F">
      <w:pPr>
        <w:rPr>
          <w:lang w:bidi="ar-SA"/>
        </w:rPr>
      </w:pPr>
    </w:p>
    <w:p w14:paraId="4B4CBE5F" w14:textId="5527017D" w:rsidR="00281237" w:rsidRDefault="00281237" w:rsidP="00281237">
      <w:pPr>
        <w:rPr>
          <w:lang w:bidi="ar-SA"/>
        </w:rPr>
      </w:pPr>
      <w:r>
        <w:rPr>
          <w:lang w:bidi="ar-SA"/>
        </w:rPr>
        <w:t xml:space="preserve">A comparison of the NOAEL of the closely related </w:t>
      </w:r>
      <w:r>
        <w:rPr>
          <w:rFonts w:cs="Arial"/>
          <w:lang w:bidi="ar-SA"/>
        </w:rPr>
        <w:t>α</w:t>
      </w:r>
      <w:r>
        <w:rPr>
          <w:lang w:bidi="ar-SA"/>
        </w:rPr>
        <w:t xml:space="preserve">-amylase with the estimated </w:t>
      </w:r>
      <w:r w:rsidR="00194F1A">
        <w:t>theoretical maximum daily intake</w:t>
      </w:r>
      <w:r w:rsidR="00194F1A">
        <w:rPr>
          <w:lang w:bidi="ar-SA"/>
        </w:rPr>
        <w:t xml:space="preserve"> (</w:t>
      </w:r>
      <w:r>
        <w:rPr>
          <w:lang w:bidi="ar-SA"/>
        </w:rPr>
        <w:t>TMDI</w:t>
      </w:r>
      <w:r w:rsidR="00194F1A">
        <w:rPr>
          <w:lang w:bidi="ar-SA"/>
        </w:rPr>
        <w:t>)</w:t>
      </w:r>
      <w:r>
        <w:rPr>
          <w:lang w:bidi="ar-SA"/>
        </w:rPr>
        <w:t xml:space="preserve"> (0.03 mg/kg bw/day TOS) indicates that the Margin of Exposure between the NOAEL and TMDI is more than 26,500. </w:t>
      </w:r>
    </w:p>
    <w:p w14:paraId="5A301DB3" w14:textId="77777777" w:rsidR="00281237" w:rsidRDefault="00281237" w:rsidP="00281237">
      <w:pPr>
        <w:rPr>
          <w:lang w:bidi="ar-SA"/>
        </w:rPr>
      </w:pPr>
    </w:p>
    <w:p w14:paraId="02F0380B" w14:textId="16385E4C" w:rsidR="00281237" w:rsidRDefault="00281237" w:rsidP="00281237">
      <w:pPr>
        <w:rPr>
          <w:lang w:bidi="ar-SA"/>
        </w:rPr>
      </w:pPr>
      <w:r>
        <w:rPr>
          <w:lang w:bidi="ar-SA"/>
        </w:rPr>
        <w:t>A</w:t>
      </w:r>
      <w:r w:rsidRPr="00F41170">
        <w:rPr>
          <w:lang w:bidi="ar-SA"/>
        </w:rPr>
        <w:t xml:space="preserve"> degree of amino acid sequence homology with a food allergen from melon</w:t>
      </w:r>
      <w:r>
        <w:rPr>
          <w:lang w:bidi="ar-SA"/>
        </w:rPr>
        <w:t xml:space="preserve"> was identified</w:t>
      </w:r>
      <w:r w:rsidRPr="00F41170">
        <w:rPr>
          <w:lang w:bidi="ar-SA"/>
        </w:rPr>
        <w:t xml:space="preserve">, but the enzyme is considered unlikely to pose an allergenicity concern because a study with another subtilisin from </w:t>
      </w:r>
      <w:r w:rsidRPr="00F41170">
        <w:rPr>
          <w:i/>
          <w:lang w:bidi="ar-SA"/>
        </w:rPr>
        <w:t>B. licheniformis</w:t>
      </w:r>
      <w:r w:rsidRPr="00F41170">
        <w:rPr>
          <w:lang w:bidi="ar-SA"/>
        </w:rPr>
        <w:t xml:space="preserve"> found </w:t>
      </w:r>
      <w:r w:rsidRPr="00905681">
        <w:rPr>
          <w:lang w:bidi="ar-SA"/>
        </w:rPr>
        <w:t>no evidence of</w:t>
      </w:r>
      <w:r w:rsidR="00AE54A5">
        <w:rPr>
          <w:lang w:bidi="ar-SA"/>
        </w:rPr>
        <w:t xml:space="preserve"> food</w:t>
      </w:r>
      <w:r w:rsidRPr="00905681">
        <w:rPr>
          <w:lang w:bidi="ar-SA"/>
        </w:rPr>
        <w:t xml:space="preserve"> allergenicity,</w:t>
      </w:r>
      <w:r w:rsidR="00401AFE">
        <w:rPr>
          <w:lang w:bidi="ar-SA"/>
        </w:rPr>
        <w:t xml:space="preserve"> exposure is expected to be very low</w:t>
      </w:r>
      <w:r>
        <w:rPr>
          <w:lang w:bidi="ar-SA"/>
        </w:rPr>
        <w:t xml:space="preserve"> and there is a long history of safe use of subtilisin enzymes from other sources with</w:t>
      </w:r>
      <w:r w:rsidRPr="00905681">
        <w:rPr>
          <w:lang w:bidi="ar-SA"/>
        </w:rPr>
        <w:t xml:space="preserve"> no reports of food allergy</w:t>
      </w:r>
      <w:r>
        <w:rPr>
          <w:lang w:bidi="ar-SA"/>
        </w:rPr>
        <w:t xml:space="preserve"> identified</w:t>
      </w:r>
      <w:r w:rsidRPr="00905681">
        <w:rPr>
          <w:lang w:bidi="ar-SA"/>
        </w:rPr>
        <w:t xml:space="preserve">. </w:t>
      </w:r>
    </w:p>
    <w:p w14:paraId="6EE8CC97" w14:textId="11AC1C72" w:rsidR="00B0418F" w:rsidRDefault="00B0418F" w:rsidP="00A9548F">
      <w:pPr>
        <w:rPr>
          <w:lang w:bidi="ar-SA"/>
        </w:rPr>
      </w:pPr>
    </w:p>
    <w:p w14:paraId="12CC0839" w14:textId="059490EB" w:rsidR="00B0418F" w:rsidRPr="00B0418F" w:rsidRDefault="00B0418F" w:rsidP="00B0418F">
      <w:pPr>
        <w:widowControl/>
        <w:rPr>
          <w:b/>
          <w:lang w:eastAsia="en-AU" w:bidi="ar-SA"/>
        </w:rPr>
      </w:pPr>
      <w:r w:rsidRPr="00B511CA">
        <w:rPr>
          <w:lang w:eastAsia="en-AU" w:bidi="ar-SA"/>
        </w:rPr>
        <w:t xml:space="preserve">Based on the reviewed toxicological data, it is concluded that in the absence of any identifiable hazard an Acceptable Daily Intake (ADI) ‘not specified’ is appropriate. </w:t>
      </w:r>
    </w:p>
    <w:p w14:paraId="6192AF65" w14:textId="4F27804B" w:rsidR="009E0B40" w:rsidRDefault="009E0B40" w:rsidP="00CB09AC">
      <w:pPr>
        <w:rPr>
          <w:lang w:bidi="ar-SA"/>
        </w:rPr>
      </w:pPr>
    </w:p>
    <w:p w14:paraId="56FAD572" w14:textId="77777777" w:rsidR="00092CDA" w:rsidRDefault="00092CDA" w:rsidP="00690206"/>
    <w:p w14:paraId="6FDB598B" w14:textId="77777777" w:rsidR="00092CDA" w:rsidRDefault="00092CDA" w:rsidP="00690206">
      <w:pPr>
        <w:sectPr w:rsidR="00092CDA" w:rsidSect="0054272D">
          <w:footerReference w:type="even" r:id="rId16"/>
          <w:footerReference w:type="default" r:id="rId17"/>
          <w:headerReference w:type="first" r:id="rId18"/>
          <w:pgSz w:w="11906" w:h="16838"/>
          <w:pgMar w:top="1418" w:right="1418" w:bottom="1418" w:left="1418" w:header="709" w:footer="709" w:gutter="0"/>
          <w:pgNumType w:fmt="lowerRoman" w:start="1"/>
          <w:cols w:space="708"/>
          <w:docGrid w:linePitch="360"/>
        </w:sectPr>
      </w:pPr>
    </w:p>
    <w:p w14:paraId="4D070F40" w14:textId="77777777" w:rsidR="00562917" w:rsidRPr="00CC40EA" w:rsidRDefault="00562917" w:rsidP="002A3314">
      <w:pPr>
        <w:pStyle w:val="TOCHeading"/>
        <w:rPr>
          <w:sz w:val="32"/>
        </w:rPr>
      </w:pPr>
      <w:r w:rsidRPr="00CC40EA">
        <w:rPr>
          <w:sz w:val="32"/>
        </w:rPr>
        <w:lastRenderedPageBreak/>
        <w:t xml:space="preserve">Table of </w:t>
      </w:r>
      <w:r w:rsidR="00A77BFA" w:rsidRPr="00CC40EA">
        <w:rPr>
          <w:sz w:val="32"/>
        </w:rPr>
        <w:t>c</w:t>
      </w:r>
      <w:r w:rsidRPr="00CC40EA">
        <w:rPr>
          <w:sz w:val="32"/>
        </w:rPr>
        <w:t>ontents</w:t>
      </w:r>
    </w:p>
    <w:p w14:paraId="0E520E67" w14:textId="62EAEB69" w:rsidR="00173623" w:rsidRDefault="005C6C42">
      <w:pPr>
        <w:pStyle w:val="TOC1"/>
        <w:rPr>
          <w:rFonts w:asciiTheme="minorHAnsi" w:eastAsiaTheme="minorEastAsia" w:hAnsiTheme="minorHAnsi" w:cstheme="minorBidi"/>
          <w:b w:val="0"/>
          <w:bCs w:val="0"/>
          <w:caps w:val="0"/>
          <w:sz w:val="22"/>
          <w:szCs w:val="22"/>
          <w:lang w:eastAsia="en-GB" w:bidi="ar-SA"/>
        </w:rPr>
      </w:pPr>
      <w:r w:rsidRPr="00CC40EA">
        <w:rPr>
          <w:rFonts w:asciiTheme="minorHAnsi" w:hAnsiTheme="minorHAnsi"/>
        </w:rPr>
        <w:fldChar w:fldCharType="begin"/>
      </w:r>
      <w:r w:rsidRPr="00CC40EA">
        <w:rPr>
          <w:rFonts w:asciiTheme="minorHAnsi" w:hAnsiTheme="minorHAnsi"/>
        </w:rPr>
        <w:instrText xml:space="preserve"> TOC \o "1-2" \h \z \u </w:instrText>
      </w:r>
      <w:r w:rsidRPr="00CC40EA">
        <w:rPr>
          <w:rFonts w:asciiTheme="minorHAnsi" w:hAnsiTheme="minorHAnsi"/>
        </w:rPr>
        <w:fldChar w:fldCharType="separate"/>
      </w:r>
      <w:hyperlink w:anchor="_Toc71123612" w:history="1">
        <w:r w:rsidR="00173623" w:rsidRPr="00FF20BE">
          <w:rPr>
            <w:rStyle w:val="Hyperlink"/>
          </w:rPr>
          <w:t>Executive summary</w:t>
        </w:r>
        <w:r w:rsidR="00173623">
          <w:rPr>
            <w:webHidden/>
          </w:rPr>
          <w:tab/>
        </w:r>
        <w:r w:rsidR="00173623">
          <w:rPr>
            <w:webHidden/>
          </w:rPr>
          <w:fldChar w:fldCharType="begin"/>
        </w:r>
        <w:r w:rsidR="00173623">
          <w:rPr>
            <w:webHidden/>
          </w:rPr>
          <w:instrText xml:space="preserve"> PAGEREF _Toc71123612 \h </w:instrText>
        </w:r>
        <w:r w:rsidR="00173623">
          <w:rPr>
            <w:webHidden/>
          </w:rPr>
        </w:r>
        <w:r w:rsidR="00173623">
          <w:rPr>
            <w:webHidden/>
          </w:rPr>
          <w:fldChar w:fldCharType="separate"/>
        </w:r>
        <w:r w:rsidR="00173623">
          <w:rPr>
            <w:webHidden/>
          </w:rPr>
          <w:t>i</w:t>
        </w:r>
        <w:r w:rsidR="00173623">
          <w:rPr>
            <w:webHidden/>
          </w:rPr>
          <w:fldChar w:fldCharType="end"/>
        </w:r>
      </w:hyperlink>
    </w:p>
    <w:p w14:paraId="7CFF3631" w14:textId="78E6B56A" w:rsidR="00173623" w:rsidRDefault="00010817">
      <w:pPr>
        <w:pStyle w:val="TOC1"/>
        <w:rPr>
          <w:rFonts w:asciiTheme="minorHAnsi" w:eastAsiaTheme="minorEastAsia" w:hAnsiTheme="minorHAnsi" w:cstheme="minorBidi"/>
          <w:b w:val="0"/>
          <w:bCs w:val="0"/>
          <w:caps w:val="0"/>
          <w:sz w:val="22"/>
          <w:szCs w:val="22"/>
          <w:lang w:eastAsia="en-GB" w:bidi="ar-SA"/>
        </w:rPr>
      </w:pPr>
      <w:hyperlink w:anchor="_Toc71123613" w:history="1">
        <w:r w:rsidR="00173623" w:rsidRPr="00FF20BE">
          <w:rPr>
            <w:rStyle w:val="Hyperlink"/>
          </w:rPr>
          <w:t>1</w:t>
        </w:r>
        <w:r w:rsidR="00173623">
          <w:rPr>
            <w:rFonts w:asciiTheme="minorHAnsi" w:eastAsiaTheme="minorEastAsia" w:hAnsiTheme="minorHAnsi" w:cstheme="minorBidi"/>
            <w:b w:val="0"/>
            <w:bCs w:val="0"/>
            <w:caps w:val="0"/>
            <w:sz w:val="22"/>
            <w:szCs w:val="22"/>
            <w:lang w:eastAsia="en-GB" w:bidi="ar-SA"/>
          </w:rPr>
          <w:tab/>
        </w:r>
        <w:r w:rsidR="00173623" w:rsidRPr="00FF20BE">
          <w:rPr>
            <w:rStyle w:val="Hyperlink"/>
          </w:rPr>
          <w:t>Introduction</w:t>
        </w:r>
        <w:r w:rsidR="00173623">
          <w:rPr>
            <w:webHidden/>
          </w:rPr>
          <w:tab/>
        </w:r>
        <w:r w:rsidR="00173623">
          <w:rPr>
            <w:webHidden/>
          </w:rPr>
          <w:fldChar w:fldCharType="begin"/>
        </w:r>
        <w:r w:rsidR="00173623">
          <w:rPr>
            <w:webHidden/>
          </w:rPr>
          <w:instrText xml:space="preserve"> PAGEREF _Toc71123613 \h </w:instrText>
        </w:r>
        <w:r w:rsidR="00173623">
          <w:rPr>
            <w:webHidden/>
          </w:rPr>
        </w:r>
        <w:r w:rsidR="00173623">
          <w:rPr>
            <w:webHidden/>
          </w:rPr>
          <w:fldChar w:fldCharType="separate"/>
        </w:r>
        <w:r w:rsidR="00173623">
          <w:rPr>
            <w:webHidden/>
          </w:rPr>
          <w:t>4</w:t>
        </w:r>
        <w:r w:rsidR="00173623">
          <w:rPr>
            <w:webHidden/>
          </w:rPr>
          <w:fldChar w:fldCharType="end"/>
        </w:r>
      </w:hyperlink>
    </w:p>
    <w:p w14:paraId="65CEFF84" w14:textId="59567BEE" w:rsidR="00173623" w:rsidRDefault="00010817">
      <w:pPr>
        <w:pStyle w:val="TOC2"/>
        <w:rPr>
          <w:rFonts w:eastAsiaTheme="minorEastAsia" w:cstheme="minorBidi"/>
          <w:smallCaps w:val="0"/>
          <w:sz w:val="22"/>
          <w:szCs w:val="22"/>
          <w:lang w:eastAsia="en-GB" w:bidi="ar-SA"/>
        </w:rPr>
      </w:pPr>
      <w:hyperlink w:anchor="_Toc71123614" w:history="1">
        <w:r w:rsidR="00173623" w:rsidRPr="00FF20BE">
          <w:rPr>
            <w:rStyle w:val="Hyperlink"/>
          </w:rPr>
          <w:t>1.1</w:t>
        </w:r>
        <w:r w:rsidR="00173623">
          <w:rPr>
            <w:rFonts w:eastAsiaTheme="minorEastAsia" w:cstheme="minorBidi"/>
            <w:smallCaps w:val="0"/>
            <w:sz w:val="22"/>
            <w:szCs w:val="22"/>
            <w:lang w:eastAsia="en-GB" w:bidi="ar-SA"/>
          </w:rPr>
          <w:tab/>
        </w:r>
        <w:r w:rsidR="00173623" w:rsidRPr="00FF20BE">
          <w:rPr>
            <w:rStyle w:val="Hyperlink"/>
          </w:rPr>
          <w:t>Objectives of the assessment</w:t>
        </w:r>
        <w:r w:rsidR="00173623">
          <w:rPr>
            <w:webHidden/>
          </w:rPr>
          <w:tab/>
        </w:r>
        <w:r w:rsidR="00173623">
          <w:rPr>
            <w:webHidden/>
          </w:rPr>
          <w:fldChar w:fldCharType="begin"/>
        </w:r>
        <w:r w:rsidR="00173623">
          <w:rPr>
            <w:webHidden/>
          </w:rPr>
          <w:instrText xml:space="preserve"> PAGEREF _Toc71123614 \h </w:instrText>
        </w:r>
        <w:r w:rsidR="00173623">
          <w:rPr>
            <w:webHidden/>
          </w:rPr>
        </w:r>
        <w:r w:rsidR="00173623">
          <w:rPr>
            <w:webHidden/>
          </w:rPr>
          <w:fldChar w:fldCharType="separate"/>
        </w:r>
        <w:r w:rsidR="00173623">
          <w:rPr>
            <w:webHidden/>
          </w:rPr>
          <w:t>4</w:t>
        </w:r>
        <w:r w:rsidR="00173623">
          <w:rPr>
            <w:webHidden/>
          </w:rPr>
          <w:fldChar w:fldCharType="end"/>
        </w:r>
      </w:hyperlink>
    </w:p>
    <w:p w14:paraId="512D65C3" w14:textId="328969E5" w:rsidR="00173623" w:rsidRDefault="00010817">
      <w:pPr>
        <w:pStyle w:val="TOC1"/>
        <w:rPr>
          <w:rFonts w:asciiTheme="minorHAnsi" w:eastAsiaTheme="minorEastAsia" w:hAnsiTheme="minorHAnsi" w:cstheme="minorBidi"/>
          <w:b w:val="0"/>
          <w:bCs w:val="0"/>
          <w:caps w:val="0"/>
          <w:sz w:val="22"/>
          <w:szCs w:val="22"/>
          <w:lang w:eastAsia="en-GB" w:bidi="ar-SA"/>
        </w:rPr>
      </w:pPr>
      <w:hyperlink w:anchor="_Toc71123615" w:history="1">
        <w:r w:rsidR="00173623" w:rsidRPr="00FF20BE">
          <w:rPr>
            <w:rStyle w:val="Hyperlink"/>
          </w:rPr>
          <w:t>2</w:t>
        </w:r>
        <w:r w:rsidR="00173623">
          <w:rPr>
            <w:rFonts w:asciiTheme="minorHAnsi" w:eastAsiaTheme="minorEastAsia" w:hAnsiTheme="minorHAnsi" w:cstheme="minorBidi"/>
            <w:b w:val="0"/>
            <w:bCs w:val="0"/>
            <w:caps w:val="0"/>
            <w:sz w:val="22"/>
            <w:szCs w:val="22"/>
            <w:lang w:eastAsia="en-GB" w:bidi="ar-SA"/>
          </w:rPr>
          <w:tab/>
        </w:r>
        <w:r w:rsidR="00173623" w:rsidRPr="00FF20BE">
          <w:rPr>
            <w:rStyle w:val="Hyperlink"/>
          </w:rPr>
          <w:t>Food technology assessment</w:t>
        </w:r>
        <w:r w:rsidR="00173623">
          <w:rPr>
            <w:webHidden/>
          </w:rPr>
          <w:tab/>
        </w:r>
        <w:r w:rsidR="00173623">
          <w:rPr>
            <w:webHidden/>
          </w:rPr>
          <w:fldChar w:fldCharType="begin"/>
        </w:r>
        <w:r w:rsidR="00173623">
          <w:rPr>
            <w:webHidden/>
          </w:rPr>
          <w:instrText xml:space="preserve"> PAGEREF _Toc71123615 \h </w:instrText>
        </w:r>
        <w:r w:rsidR="00173623">
          <w:rPr>
            <w:webHidden/>
          </w:rPr>
        </w:r>
        <w:r w:rsidR="00173623">
          <w:rPr>
            <w:webHidden/>
          </w:rPr>
          <w:fldChar w:fldCharType="separate"/>
        </w:r>
        <w:r w:rsidR="00173623">
          <w:rPr>
            <w:webHidden/>
          </w:rPr>
          <w:t>5</w:t>
        </w:r>
        <w:r w:rsidR="00173623">
          <w:rPr>
            <w:webHidden/>
          </w:rPr>
          <w:fldChar w:fldCharType="end"/>
        </w:r>
      </w:hyperlink>
    </w:p>
    <w:p w14:paraId="55A5B883" w14:textId="6B893300" w:rsidR="00173623" w:rsidRPr="00173623" w:rsidRDefault="00010817">
      <w:pPr>
        <w:pStyle w:val="TOC2"/>
        <w:rPr>
          <w:rFonts w:eastAsiaTheme="minorEastAsia" w:cstheme="minorBidi"/>
          <w:smallCaps w:val="0"/>
          <w:sz w:val="22"/>
          <w:szCs w:val="22"/>
          <w:lang w:eastAsia="en-GB" w:bidi="ar-SA"/>
        </w:rPr>
      </w:pPr>
      <w:hyperlink w:anchor="_Toc71123616" w:history="1">
        <w:r w:rsidR="00173623" w:rsidRPr="00173623">
          <w:rPr>
            <w:rStyle w:val="Hyperlink"/>
            <w:rFonts w:cs="Arial"/>
            <w:bCs/>
          </w:rPr>
          <w:t>2.1</w:t>
        </w:r>
        <w:r w:rsidR="00173623" w:rsidRPr="00173623">
          <w:rPr>
            <w:rFonts w:eastAsiaTheme="minorEastAsia" w:cstheme="minorBidi"/>
            <w:smallCaps w:val="0"/>
            <w:sz w:val="22"/>
            <w:szCs w:val="22"/>
            <w:lang w:eastAsia="en-GB" w:bidi="ar-SA"/>
          </w:rPr>
          <w:tab/>
        </w:r>
        <w:r w:rsidR="00173623" w:rsidRPr="00173623">
          <w:rPr>
            <w:rStyle w:val="Hyperlink"/>
            <w:rFonts w:cs="Arial"/>
            <w:bCs/>
          </w:rPr>
          <w:t>Characterisation of the enzyme</w:t>
        </w:r>
        <w:r w:rsidR="00173623" w:rsidRPr="00173623">
          <w:rPr>
            <w:webHidden/>
          </w:rPr>
          <w:tab/>
        </w:r>
        <w:r w:rsidR="00173623" w:rsidRPr="00173623">
          <w:rPr>
            <w:webHidden/>
          </w:rPr>
          <w:fldChar w:fldCharType="begin"/>
        </w:r>
        <w:r w:rsidR="00173623" w:rsidRPr="00173623">
          <w:rPr>
            <w:webHidden/>
          </w:rPr>
          <w:instrText xml:space="preserve"> PAGEREF _Toc71123616 \h </w:instrText>
        </w:r>
        <w:r w:rsidR="00173623" w:rsidRPr="00173623">
          <w:rPr>
            <w:webHidden/>
          </w:rPr>
        </w:r>
        <w:r w:rsidR="00173623" w:rsidRPr="00173623">
          <w:rPr>
            <w:webHidden/>
          </w:rPr>
          <w:fldChar w:fldCharType="separate"/>
        </w:r>
        <w:r w:rsidR="00173623" w:rsidRPr="00173623">
          <w:rPr>
            <w:webHidden/>
          </w:rPr>
          <w:t>5</w:t>
        </w:r>
        <w:r w:rsidR="00173623" w:rsidRPr="00173623">
          <w:rPr>
            <w:webHidden/>
          </w:rPr>
          <w:fldChar w:fldCharType="end"/>
        </w:r>
      </w:hyperlink>
    </w:p>
    <w:p w14:paraId="51A46F27" w14:textId="1A30008C" w:rsidR="00173623" w:rsidRPr="00173623" w:rsidRDefault="00010817">
      <w:pPr>
        <w:pStyle w:val="TOC2"/>
        <w:rPr>
          <w:rFonts w:eastAsiaTheme="minorEastAsia" w:cstheme="minorBidi"/>
          <w:smallCaps w:val="0"/>
          <w:sz w:val="22"/>
          <w:szCs w:val="22"/>
          <w:lang w:eastAsia="en-GB" w:bidi="ar-SA"/>
        </w:rPr>
      </w:pPr>
      <w:hyperlink w:anchor="_Toc71123617" w:history="1">
        <w:r w:rsidR="00173623" w:rsidRPr="00173623">
          <w:rPr>
            <w:rStyle w:val="Hyperlink"/>
            <w:rFonts w:cs="Arial"/>
            <w:bCs/>
          </w:rPr>
          <w:t>2.2</w:t>
        </w:r>
        <w:r w:rsidR="00173623" w:rsidRPr="00173623">
          <w:rPr>
            <w:rFonts w:eastAsiaTheme="minorEastAsia" w:cstheme="minorBidi"/>
            <w:smallCaps w:val="0"/>
            <w:sz w:val="22"/>
            <w:szCs w:val="22"/>
            <w:lang w:eastAsia="en-GB" w:bidi="ar-SA"/>
          </w:rPr>
          <w:tab/>
        </w:r>
        <w:r w:rsidR="00173623" w:rsidRPr="00173623">
          <w:rPr>
            <w:rStyle w:val="Hyperlink"/>
            <w:rFonts w:cs="Arial"/>
            <w:bCs/>
          </w:rPr>
          <w:t>Manufacturing process</w:t>
        </w:r>
        <w:r w:rsidR="00173623" w:rsidRPr="00173623">
          <w:rPr>
            <w:webHidden/>
          </w:rPr>
          <w:tab/>
        </w:r>
        <w:r w:rsidR="00173623" w:rsidRPr="00173623">
          <w:rPr>
            <w:webHidden/>
          </w:rPr>
          <w:fldChar w:fldCharType="begin"/>
        </w:r>
        <w:r w:rsidR="00173623" w:rsidRPr="00173623">
          <w:rPr>
            <w:webHidden/>
          </w:rPr>
          <w:instrText xml:space="preserve"> PAGEREF _Toc71123617 \h </w:instrText>
        </w:r>
        <w:r w:rsidR="00173623" w:rsidRPr="00173623">
          <w:rPr>
            <w:webHidden/>
          </w:rPr>
        </w:r>
        <w:r w:rsidR="00173623" w:rsidRPr="00173623">
          <w:rPr>
            <w:webHidden/>
          </w:rPr>
          <w:fldChar w:fldCharType="separate"/>
        </w:r>
        <w:r w:rsidR="00173623" w:rsidRPr="00173623">
          <w:rPr>
            <w:webHidden/>
          </w:rPr>
          <w:t>6</w:t>
        </w:r>
        <w:r w:rsidR="00173623" w:rsidRPr="00173623">
          <w:rPr>
            <w:webHidden/>
          </w:rPr>
          <w:fldChar w:fldCharType="end"/>
        </w:r>
      </w:hyperlink>
    </w:p>
    <w:p w14:paraId="2C4904C9" w14:textId="14676F86" w:rsidR="00173623" w:rsidRPr="00173623" w:rsidRDefault="00010817">
      <w:pPr>
        <w:pStyle w:val="TOC2"/>
        <w:rPr>
          <w:rFonts w:eastAsiaTheme="minorEastAsia" w:cstheme="minorBidi"/>
          <w:smallCaps w:val="0"/>
          <w:sz w:val="22"/>
          <w:szCs w:val="22"/>
          <w:lang w:eastAsia="en-GB" w:bidi="ar-SA"/>
        </w:rPr>
      </w:pPr>
      <w:hyperlink w:anchor="_Toc71123618" w:history="1">
        <w:r w:rsidR="00173623" w:rsidRPr="00173623">
          <w:rPr>
            <w:rStyle w:val="Hyperlink"/>
            <w:rFonts w:cs="Arial"/>
            <w:bCs/>
          </w:rPr>
          <w:t>2.3</w:t>
        </w:r>
        <w:r w:rsidR="00173623" w:rsidRPr="00173623">
          <w:rPr>
            <w:rFonts w:eastAsiaTheme="minorEastAsia" w:cstheme="minorBidi"/>
            <w:smallCaps w:val="0"/>
            <w:sz w:val="22"/>
            <w:szCs w:val="22"/>
            <w:lang w:eastAsia="en-GB" w:bidi="ar-SA"/>
          </w:rPr>
          <w:tab/>
        </w:r>
        <w:r w:rsidR="00173623" w:rsidRPr="00173623">
          <w:rPr>
            <w:rStyle w:val="Hyperlink"/>
            <w:rFonts w:cs="Arial"/>
            <w:bCs/>
          </w:rPr>
          <w:t>Food technology conclusion</w:t>
        </w:r>
        <w:r w:rsidR="00173623" w:rsidRPr="00173623">
          <w:rPr>
            <w:webHidden/>
          </w:rPr>
          <w:tab/>
        </w:r>
        <w:r w:rsidR="00173623" w:rsidRPr="00173623">
          <w:rPr>
            <w:webHidden/>
          </w:rPr>
          <w:fldChar w:fldCharType="begin"/>
        </w:r>
        <w:r w:rsidR="00173623" w:rsidRPr="00173623">
          <w:rPr>
            <w:webHidden/>
          </w:rPr>
          <w:instrText xml:space="preserve"> PAGEREF _Toc71123618 \h </w:instrText>
        </w:r>
        <w:r w:rsidR="00173623" w:rsidRPr="00173623">
          <w:rPr>
            <w:webHidden/>
          </w:rPr>
        </w:r>
        <w:r w:rsidR="00173623" w:rsidRPr="00173623">
          <w:rPr>
            <w:webHidden/>
          </w:rPr>
          <w:fldChar w:fldCharType="separate"/>
        </w:r>
        <w:r w:rsidR="00173623" w:rsidRPr="00173623">
          <w:rPr>
            <w:webHidden/>
          </w:rPr>
          <w:t>7</w:t>
        </w:r>
        <w:r w:rsidR="00173623" w:rsidRPr="00173623">
          <w:rPr>
            <w:webHidden/>
          </w:rPr>
          <w:fldChar w:fldCharType="end"/>
        </w:r>
      </w:hyperlink>
    </w:p>
    <w:p w14:paraId="08494FCA" w14:textId="44DE9794" w:rsidR="00173623" w:rsidRDefault="00010817">
      <w:pPr>
        <w:pStyle w:val="TOC1"/>
        <w:rPr>
          <w:rFonts w:asciiTheme="minorHAnsi" w:eastAsiaTheme="minorEastAsia" w:hAnsiTheme="minorHAnsi" w:cstheme="minorBidi"/>
          <w:b w:val="0"/>
          <w:bCs w:val="0"/>
          <w:caps w:val="0"/>
          <w:sz w:val="22"/>
          <w:szCs w:val="22"/>
          <w:lang w:eastAsia="en-GB" w:bidi="ar-SA"/>
        </w:rPr>
      </w:pPr>
      <w:hyperlink w:anchor="_Toc71123619" w:history="1">
        <w:r w:rsidR="00173623" w:rsidRPr="00FF20BE">
          <w:rPr>
            <w:rStyle w:val="Hyperlink"/>
          </w:rPr>
          <w:t>3</w:t>
        </w:r>
        <w:r w:rsidR="00173623">
          <w:rPr>
            <w:rFonts w:asciiTheme="minorHAnsi" w:eastAsiaTheme="minorEastAsia" w:hAnsiTheme="minorHAnsi" w:cstheme="minorBidi"/>
            <w:b w:val="0"/>
            <w:bCs w:val="0"/>
            <w:caps w:val="0"/>
            <w:sz w:val="22"/>
            <w:szCs w:val="22"/>
            <w:lang w:eastAsia="en-GB" w:bidi="ar-SA"/>
          </w:rPr>
          <w:tab/>
        </w:r>
        <w:r w:rsidR="00173623" w:rsidRPr="00FF20BE">
          <w:rPr>
            <w:rStyle w:val="Hyperlink"/>
          </w:rPr>
          <w:t>Safety assessment</w:t>
        </w:r>
        <w:r w:rsidR="00173623">
          <w:rPr>
            <w:webHidden/>
          </w:rPr>
          <w:tab/>
        </w:r>
        <w:r w:rsidR="00173623">
          <w:rPr>
            <w:webHidden/>
          </w:rPr>
          <w:fldChar w:fldCharType="begin"/>
        </w:r>
        <w:r w:rsidR="00173623">
          <w:rPr>
            <w:webHidden/>
          </w:rPr>
          <w:instrText xml:space="preserve"> PAGEREF _Toc71123619 \h </w:instrText>
        </w:r>
        <w:r w:rsidR="00173623">
          <w:rPr>
            <w:webHidden/>
          </w:rPr>
        </w:r>
        <w:r w:rsidR="00173623">
          <w:rPr>
            <w:webHidden/>
          </w:rPr>
          <w:fldChar w:fldCharType="separate"/>
        </w:r>
        <w:r w:rsidR="00173623">
          <w:rPr>
            <w:webHidden/>
          </w:rPr>
          <w:t>8</w:t>
        </w:r>
        <w:r w:rsidR="00173623">
          <w:rPr>
            <w:webHidden/>
          </w:rPr>
          <w:fldChar w:fldCharType="end"/>
        </w:r>
      </w:hyperlink>
    </w:p>
    <w:p w14:paraId="7F86B7C5" w14:textId="6E9DC3ED" w:rsidR="00173623" w:rsidRDefault="00010817">
      <w:pPr>
        <w:pStyle w:val="TOC2"/>
        <w:rPr>
          <w:rFonts w:eastAsiaTheme="minorEastAsia" w:cstheme="minorBidi"/>
          <w:smallCaps w:val="0"/>
          <w:sz w:val="22"/>
          <w:szCs w:val="22"/>
          <w:lang w:eastAsia="en-GB" w:bidi="ar-SA"/>
        </w:rPr>
      </w:pPr>
      <w:hyperlink w:anchor="_Toc71123620" w:history="1">
        <w:r w:rsidR="00173623" w:rsidRPr="00FF20BE">
          <w:rPr>
            <w:rStyle w:val="Hyperlink"/>
          </w:rPr>
          <w:t>3.1</w:t>
        </w:r>
        <w:r w:rsidR="00173623">
          <w:rPr>
            <w:rFonts w:eastAsiaTheme="minorEastAsia" w:cstheme="minorBidi"/>
            <w:smallCaps w:val="0"/>
            <w:sz w:val="22"/>
            <w:szCs w:val="22"/>
            <w:lang w:eastAsia="en-GB" w:bidi="ar-SA"/>
          </w:rPr>
          <w:tab/>
        </w:r>
        <w:r w:rsidR="00173623" w:rsidRPr="00FF20BE">
          <w:rPr>
            <w:rStyle w:val="Hyperlink"/>
          </w:rPr>
          <w:t>Objectives for safety assessment</w:t>
        </w:r>
        <w:r w:rsidR="00173623">
          <w:rPr>
            <w:webHidden/>
          </w:rPr>
          <w:tab/>
        </w:r>
        <w:r w:rsidR="00173623">
          <w:rPr>
            <w:webHidden/>
          </w:rPr>
          <w:fldChar w:fldCharType="begin"/>
        </w:r>
        <w:r w:rsidR="00173623">
          <w:rPr>
            <w:webHidden/>
          </w:rPr>
          <w:instrText xml:space="preserve"> PAGEREF _Toc71123620 \h </w:instrText>
        </w:r>
        <w:r w:rsidR="00173623">
          <w:rPr>
            <w:webHidden/>
          </w:rPr>
        </w:r>
        <w:r w:rsidR="00173623">
          <w:rPr>
            <w:webHidden/>
          </w:rPr>
          <w:fldChar w:fldCharType="separate"/>
        </w:r>
        <w:r w:rsidR="00173623">
          <w:rPr>
            <w:webHidden/>
          </w:rPr>
          <w:t>8</w:t>
        </w:r>
        <w:r w:rsidR="00173623">
          <w:rPr>
            <w:webHidden/>
          </w:rPr>
          <w:fldChar w:fldCharType="end"/>
        </w:r>
      </w:hyperlink>
    </w:p>
    <w:p w14:paraId="6E44F407" w14:textId="2E9AF26A" w:rsidR="00173623" w:rsidRDefault="00010817">
      <w:pPr>
        <w:pStyle w:val="TOC2"/>
        <w:rPr>
          <w:rFonts w:eastAsiaTheme="minorEastAsia" w:cstheme="minorBidi"/>
          <w:smallCaps w:val="0"/>
          <w:sz w:val="22"/>
          <w:szCs w:val="22"/>
          <w:lang w:eastAsia="en-GB" w:bidi="ar-SA"/>
        </w:rPr>
      </w:pPr>
      <w:hyperlink w:anchor="_Toc71123621" w:history="1">
        <w:r w:rsidR="00173623" w:rsidRPr="00FF20BE">
          <w:rPr>
            <w:rStyle w:val="Hyperlink"/>
          </w:rPr>
          <w:t>3.2</w:t>
        </w:r>
        <w:r w:rsidR="00173623">
          <w:rPr>
            <w:rFonts w:eastAsiaTheme="minorEastAsia" w:cstheme="minorBidi"/>
            <w:smallCaps w:val="0"/>
            <w:sz w:val="22"/>
            <w:szCs w:val="22"/>
            <w:lang w:eastAsia="en-GB" w:bidi="ar-SA"/>
          </w:rPr>
          <w:tab/>
        </w:r>
        <w:r w:rsidR="00173623" w:rsidRPr="00FF20BE">
          <w:rPr>
            <w:rStyle w:val="Hyperlink"/>
          </w:rPr>
          <w:t>History of use of host and gene donor microorganisms</w:t>
        </w:r>
        <w:r w:rsidR="00173623">
          <w:rPr>
            <w:webHidden/>
          </w:rPr>
          <w:tab/>
        </w:r>
        <w:r w:rsidR="00173623">
          <w:rPr>
            <w:webHidden/>
          </w:rPr>
          <w:fldChar w:fldCharType="begin"/>
        </w:r>
        <w:r w:rsidR="00173623">
          <w:rPr>
            <w:webHidden/>
          </w:rPr>
          <w:instrText xml:space="preserve"> PAGEREF _Toc71123621 \h </w:instrText>
        </w:r>
        <w:r w:rsidR="00173623">
          <w:rPr>
            <w:webHidden/>
          </w:rPr>
        </w:r>
        <w:r w:rsidR="00173623">
          <w:rPr>
            <w:webHidden/>
          </w:rPr>
          <w:fldChar w:fldCharType="separate"/>
        </w:r>
        <w:r w:rsidR="00173623">
          <w:rPr>
            <w:webHidden/>
          </w:rPr>
          <w:t>8</w:t>
        </w:r>
        <w:r w:rsidR="00173623">
          <w:rPr>
            <w:webHidden/>
          </w:rPr>
          <w:fldChar w:fldCharType="end"/>
        </w:r>
      </w:hyperlink>
    </w:p>
    <w:p w14:paraId="6652AD4C" w14:textId="4DCCB7C3" w:rsidR="00173623" w:rsidRDefault="00010817">
      <w:pPr>
        <w:pStyle w:val="TOC2"/>
        <w:rPr>
          <w:rFonts w:eastAsiaTheme="minorEastAsia" w:cstheme="minorBidi"/>
          <w:smallCaps w:val="0"/>
          <w:sz w:val="22"/>
          <w:szCs w:val="22"/>
          <w:lang w:eastAsia="en-GB" w:bidi="ar-SA"/>
        </w:rPr>
      </w:pPr>
      <w:hyperlink w:anchor="_Toc71123622" w:history="1">
        <w:r w:rsidR="00173623" w:rsidRPr="00FF20BE">
          <w:rPr>
            <w:rStyle w:val="Hyperlink"/>
          </w:rPr>
          <w:t>3.3</w:t>
        </w:r>
        <w:r w:rsidR="00173623">
          <w:rPr>
            <w:rFonts w:eastAsiaTheme="minorEastAsia" w:cstheme="minorBidi"/>
            <w:smallCaps w:val="0"/>
            <w:sz w:val="22"/>
            <w:szCs w:val="22"/>
            <w:lang w:eastAsia="en-GB" w:bidi="ar-SA"/>
          </w:rPr>
          <w:tab/>
        </w:r>
        <w:r w:rsidR="00173623" w:rsidRPr="00FF20BE">
          <w:rPr>
            <w:rStyle w:val="Hyperlink"/>
          </w:rPr>
          <w:t>Characterisation of the genetic modification(s)</w:t>
        </w:r>
        <w:r w:rsidR="00173623">
          <w:rPr>
            <w:webHidden/>
          </w:rPr>
          <w:tab/>
        </w:r>
        <w:r w:rsidR="00173623">
          <w:rPr>
            <w:webHidden/>
          </w:rPr>
          <w:fldChar w:fldCharType="begin"/>
        </w:r>
        <w:r w:rsidR="00173623">
          <w:rPr>
            <w:webHidden/>
          </w:rPr>
          <w:instrText xml:space="preserve"> PAGEREF _Toc71123622 \h </w:instrText>
        </w:r>
        <w:r w:rsidR="00173623">
          <w:rPr>
            <w:webHidden/>
          </w:rPr>
        </w:r>
        <w:r w:rsidR="00173623">
          <w:rPr>
            <w:webHidden/>
          </w:rPr>
          <w:fldChar w:fldCharType="separate"/>
        </w:r>
        <w:r w:rsidR="00173623">
          <w:rPr>
            <w:webHidden/>
          </w:rPr>
          <w:t>9</w:t>
        </w:r>
        <w:r w:rsidR="00173623">
          <w:rPr>
            <w:webHidden/>
          </w:rPr>
          <w:fldChar w:fldCharType="end"/>
        </w:r>
      </w:hyperlink>
    </w:p>
    <w:p w14:paraId="0CCF2716" w14:textId="1A82DFDD" w:rsidR="00173623" w:rsidRDefault="00010817">
      <w:pPr>
        <w:pStyle w:val="TOC2"/>
        <w:rPr>
          <w:rFonts w:eastAsiaTheme="minorEastAsia" w:cstheme="minorBidi"/>
          <w:smallCaps w:val="0"/>
          <w:sz w:val="22"/>
          <w:szCs w:val="22"/>
          <w:lang w:eastAsia="en-GB" w:bidi="ar-SA"/>
        </w:rPr>
      </w:pPr>
      <w:hyperlink w:anchor="_Toc71123623" w:history="1">
        <w:r w:rsidR="00173623" w:rsidRPr="00FF20BE">
          <w:rPr>
            <w:rStyle w:val="Hyperlink"/>
          </w:rPr>
          <w:t>3.4</w:t>
        </w:r>
        <w:r w:rsidR="00173623">
          <w:rPr>
            <w:rFonts w:eastAsiaTheme="minorEastAsia" w:cstheme="minorBidi"/>
            <w:smallCaps w:val="0"/>
            <w:sz w:val="22"/>
            <w:szCs w:val="22"/>
            <w:lang w:eastAsia="en-GB" w:bidi="ar-SA"/>
          </w:rPr>
          <w:tab/>
        </w:r>
        <w:r w:rsidR="00173623" w:rsidRPr="00FF20BE">
          <w:rPr>
            <w:rStyle w:val="Hyperlink"/>
          </w:rPr>
          <w:t>Safety of subtilisin</w:t>
        </w:r>
        <w:r w:rsidR="00173623">
          <w:rPr>
            <w:webHidden/>
          </w:rPr>
          <w:tab/>
        </w:r>
        <w:r w:rsidR="00173623">
          <w:rPr>
            <w:webHidden/>
          </w:rPr>
          <w:fldChar w:fldCharType="begin"/>
        </w:r>
        <w:r w:rsidR="00173623">
          <w:rPr>
            <w:webHidden/>
          </w:rPr>
          <w:instrText xml:space="preserve"> PAGEREF _Toc71123623 \h </w:instrText>
        </w:r>
        <w:r w:rsidR="00173623">
          <w:rPr>
            <w:webHidden/>
          </w:rPr>
        </w:r>
        <w:r w:rsidR="00173623">
          <w:rPr>
            <w:webHidden/>
          </w:rPr>
          <w:fldChar w:fldCharType="separate"/>
        </w:r>
        <w:r w:rsidR="00173623">
          <w:rPr>
            <w:webHidden/>
          </w:rPr>
          <w:t>10</w:t>
        </w:r>
        <w:r w:rsidR="00173623">
          <w:rPr>
            <w:webHidden/>
          </w:rPr>
          <w:fldChar w:fldCharType="end"/>
        </w:r>
      </w:hyperlink>
    </w:p>
    <w:p w14:paraId="021B2EBE" w14:textId="0242B7B7" w:rsidR="00173623" w:rsidRDefault="00010817">
      <w:pPr>
        <w:pStyle w:val="TOC2"/>
        <w:rPr>
          <w:rFonts w:eastAsiaTheme="minorEastAsia" w:cstheme="minorBidi"/>
          <w:smallCaps w:val="0"/>
          <w:sz w:val="22"/>
          <w:szCs w:val="22"/>
          <w:lang w:eastAsia="en-GB" w:bidi="ar-SA"/>
        </w:rPr>
      </w:pPr>
      <w:hyperlink w:anchor="_Toc71123624" w:history="1">
        <w:r w:rsidR="00173623" w:rsidRPr="00FF20BE">
          <w:rPr>
            <w:rStyle w:val="Hyperlink"/>
            <w:lang w:eastAsia="en-AU"/>
          </w:rPr>
          <w:t>3.5</w:t>
        </w:r>
        <w:r w:rsidR="00173623">
          <w:rPr>
            <w:rFonts w:eastAsiaTheme="minorEastAsia" w:cstheme="minorBidi"/>
            <w:smallCaps w:val="0"/>
            <w:sz w:val="22"/>
            <w:szCs w:val="22"/>
            <w:lang w:eastAsia="en-GB" w:bidi="ar-SA"/>
          </w:rPr>
          <w:tab/>
        </w:r>
        <w:r w:rsidR="00173623" w:rsidRPr="00FF20BE">
          <w:rPr>
            <w:rStyle w:val="Hyperlink"/>
            <w:lang w:eastAsia="en-AU"/>
          </w:rPr>
          <w:t>Dietary exposure assessment</w:t>
        </w:r>
        <w:r w:rsidR="00173623">
          <w:rPr>
            <w:webHidden/>
          </w:rPr>
          <w:tab/>
        </w:r>
        <w:r w:rsidR="00173623">
          <w:rPr>
            <w:webHidden/>
          </w:rPr>
          <w:fldChar w:fldCharType="begin"/>
        </w:r>
        <w:r w:rsidR="00173623">
          <w:rPr>
            <w:webHidden/>
          </w:rPr>
          <w:instrText xml:space="preserve"> PAGEREF _Toc71123624 \h </w:instrText>
        </w:r>
        <w:r w:rsidR="00173623">
          <w:rPr>
            <w:webHidden/>
          </w:rPr>
        </w:r>
        <w:r w:rsidR="00173623">
          <w:rPr>
            <w:webHidden/>
          </w:rPr>
          <w:fldChar w:fldCharType="separate"/>
        </w:r>
        <w:r w:rsidR="00173623">
          <w:rPr>
            <w:webHidden/>
          </w:rPr>
          <w:t>14</w:t>
        </w:r>
        <w:r w:rsidR="00173623">
          <w:rPr>
            <w:webHidden/>
          </w:rPr>
          <w:fldChar w:fldCharType="end"/>
        </w:r>
      </w:hyperlink>
    </w:p>
    <w:p w14:paraId="67DCE7E4" w14:textId="5FD35379" w:rsidR="00173623" w:rsidRDefault="00010817">
      <w:pPr>
        <w:pStyle w:val="TOC1"/>
        <w:rPr>
          <w:rFonts w:asciiTheme="minorHAnsi" w:eastAsiaTheme="minorEastAsia" w:hAnsiTheme="minorHAnsi" w:cstheme="minorBidi"/>
          <w:b w:val="0"/>
          <w:bCs w:val="0"/>
          <w:caps w:val="0"/>
          <w:sz w:val="22"/>
          <w:szCs w:val="22"/>
          <w:lang w:eastAsia="en-GB" w:bidi="ar-SA"/>
        </w:rPr>
      </w:pPr>
      <w:hyperlink w:anchor="_Toc71123625" w:history="1">
        <w:r w:rsidR="00173623" w:rsidRPr="00FF20BE">
          <w:rPr>
            <w:rStyle w:val="Hyperlink"/>
          </w:rPr>
          <w:t>4</w:t>
        </w:r>
        <w:r w:rsidR="00173623">
          <w:rPr>
            <w:rFonts w:asciiTheme="minorHAnsi" w:eastAsiaTheme="minorEastAsia" w:hAnsiTheme="minorHAnsi" w:cstheme="minorBidi"/>
            <w:b w:val="0"/>
            <w:bCs w:val="0"/>
            <w:caps w:val="0"/>
            <w:sz w:val="22"/>
            <w:szCs w:val="22"/>
            <w:lang w:eastAsia="en-GB" w:bidi="ar-SA"/>
          </w:rPr>
          <w:tab/>
        </w:r>
        <w:r w:rsidR="00173623" w:rsidRPr="00FF20BE">
          <w:rPr>
            <w:rStyle w:val="Hyperlink"/>
          </w:rPr>
          <w:t>Discussion</w:t>
        </w:r>
        <w:r w:rsidR="00173623">
          <w:rPr>
            <w:webHidden/>
          </w:rPr>
          <w:tab/>
        </w:r>
        <w:r w:rsidR="00173623">
          <w:rPr>
            <w:webHidden/>
          </w:rPr>
          <w:fldChar w:fldCharType="begin"/>
        </w:r>
        <w:r w:rsidR="00173623">
          <w:rPr>
            <w:webHidden/>
          </w:rPr>
          <w:instrText xml:space="preserve"> PAGEREF _Toc71123625 \h </w:instrText>
        </w:r>
        <w:r w:rsidR="00173623">
          <w:rPr>
            <w:webHidden/>
          </w:rPr>
        </w:r>
        <w:r w:rsidR="00173623">
          <w:rPr>
            <w:webHidden/>
          </w:rPr>
          <w:fldChar w:fldCharType="separate"/>
        </w:r>
        <w:r w:rsidR="00173623">
          <w:rPr>
            <w:webHidden/>
          </w:rPr>
          <w:t>14</w:t>
        </w:r>
        <w:r w:rsidR="00173623">
          <w:rPr>
            <w:webHidden/>
          </w:rPr>
          <w:fldChar w:fldCharType="end"/>
        </w:r>
      </w:hyperlink>
    </w:p>
    <w:p w14:paraId="20B910DD" w14:textId="1B2A10CA" w:rsidR="00173623" w:rsidRDefault="00010817">
      <w:pPr>
        <w:pStyle w:val="TOC1"/>
        <w:rPr>
          <w:rFonts w:asciiTheme="minorHAnsi" w:eastAsiaTheme="minorEastAsia" w:hAnsiTheme="minorHAnsi" w:cstheme="minorBidi"/>
          <w:b w:val="0"/>
          <w:bCs w:val="0"/>
          <w:caps w:val="0"/>
          <w:sz w:val="22"/>
          <w:szCs w:val="22"/>
          <w:lang w:eastAsia="en-GB" w:bidi="ar-SA"/>
        </w:rPr>
      </w:pPr>
      <w:hyperlink w:anchor="_Toc71123626" w:history="1">
        <w:r w:rsidR="00173623" w:rsidRPr="00FF20BE">
          <w:rPr>
            <w:rStyle w:val="Hyperlink"/>
          </w:rPr>
          <w:t>5</w:t>
        </w:r>
        <w:r w:rsidR="00173623">
          <w:rPr>
            <w:rFonts w:asciiTheme="minorHAnsi" w:eastAsiaTheme="minorEastAsia" w:hAnsiTheme="minorHAnsi" w:cstheme="minorBidi"/>
            <w:b w:val="0"/>
            <w:bCs w:val="0"/>
            <w:caps w:val="0"/>
            <w:sz w:val="22"/>
            <w:szCs w:val="22"/>
            <w:lang w:eastAsia="en-GB" w:bidi="ar-SA"/>
          </w:rPr>
          <w:tab/>
        </w:r>
        <w:r w:rsidR="00173623" w:rsidRPr="00FF20BE">
          <w:rPr>
            <w:rStyle w:val="Hyperlink"/>
          </w:rPr>
          <w:t>Conclusion</w:t>
        </w:r>
        <w:r w:rsidR="00173623">
          <w:rPr>
            <w:webHidden/>
          </w:rPr>
          <w:tab/>
        </w:r>
        <w:r w:rsidR="00173623">
          <w:rPr>
            <w:webHidden/>
          </w:rPr>
          <w:fldChar w:fldCharType="begin"/>
        </w:r>
        <w:r w:rsidR="00173623">
          <w:rPr>
            <w:webHidden/>
          </w:rPr>
          <w:instrText xml:space="preserve"> PAGEREF _Toc71123626 \h </w:instrText>
        </w:r>
        <w:r w:rsidR="00173623">
          <w:rPr>
            <w:webHidden/>
          </w:rPr>
        </w:r>
        <w:r w:rsidR="00173623">
          <w:rPr>
            <w:webHidden/>
          </w:rPr>
          <w:fldChar w:fldCharType="separate"/>
        </w:r>
        <w:r w:rsidR="00173623">
          <w:rPr>
            <w:webHidden/>
          </w:rPr>
          <w:t>15</w:t>
        </w:r>
        <w:r w:rsidR="00173623">
          <w:rPr>
            <w:webHidden/>
          </w:rPr>
          <w:fldChar w:fldCharType="end"/>
        </w:r>
      </w:hyperlink>
    </w:p>
    <w:p w14:paraId="76C8C280" w14:textId="1D4AB263" w:rsidR="00173623" w:rsidRDefault="00010817">
      <w:pPr>
        <w:pStyle w:val="TOC1"/>
        <w:rPr>
          <w:rFonts w:asciiTheme="minorHAnsi" w:eastAsiaTheme="minorEastAsia" w:hAnsiTheme="minorHAnsi" w:cstheme="minorBidi"/>
          <w:b w:val="0"/>
          <w:bCs w:val="0"/>
          <w:caps w:val="0"/>
          <w:sz w:val="22"/>
          <w:szCs w:val="22"/>
          <w:lang w:eastAsia="en-GB" w:bidi="ar-SA"/>
        </w:rPr>
      </w:pPr>
      <w:hyperlink w:anchor="_Toc71123627" w:history="1">
        <w:r w:rsidR="00173623" w:rsidRPr="00FF20BE">
          <w:rPr>
            <w:rStyle w:val="Hyperlink"/>
          </w:rPr>
          <w:t>6</w:t>
        </w:r>
        <w:r w:rsidR="00173623">
          <w:rPr>
            <w:rFonts w:asciiTheme="minorHAnsi" w:eastAsiaTheme="minorEastAsia" w:hAnsiTheme="minorHAnsi" w:cstheme="minorBidi"/>
            <w:b w:val="0"/>
            <w:bCs w:val="0"/>
            <w:caps w:val="0"/>
            <w:sz w:val="22"/>
            <w:szCs w:val="22"/>
            <w:lang w:eastAsia="en-GB" w:bidi="ar-SA"/>
          </w:rPr>
          <w:tab/>
        </w:r>
        <w:r w:rsidR="00173623" w:rsidRPr="00FF20BE">
          <w:rPr>
            <w:rStyle w:val="Hyperlink"/>
          </w:rPr>
          <w:t>References</w:t>
        </w:r>
        <w:r w:rsidR="00173623">
          <w:rPr>
            <w:webHidden/>
          </w:rPr>
          <w:tab/>
        </w:r>
        <w:r w:rsidR="00173623">
          <w:rPr>
            <w:webHidden/>
          </w:rPr>
          <w:fldChar w:fldCharType="begin"/>
        </w:r>
        <w:r w:rsidR="00173623">
          <w:rPr>
            <w:webHidden/>
          </w:rPr>
          <w:instrText xml:space="preserve"> PAGEREF _Toc71123627 \h </w:instrText>
        </w:r>
        <w:r w:rsidR="00173623">
          <w:rPr>
            <w:webHidden/>
          </w:rPr>
        </w:r>
        <w:r w:rsidR="00173623">
          <w:rPr>
            <w:webHidden/>
          </w:rPr>
          <w:fldChar w:fldCharType="separate"/>
        </w:r>
        <w:r w:rsidR="00173623">
          <w:rPr>
            <w:webHidden/>
          </w:rPr>
          <w:t>15</w:t>
        </w:r>
        <w:r w:rsidR="00173623">
          <w:rPr>
            <w:webHidden/>
          </w:rPr>
          <w:fldChar w:fldCharType="end"/>
        </w:r>
      </w:hyperlink>
    </w:p>
    <w:p w14:paraId="26B82DC2" w14:textId="253F7401" w:rsidR="00562917" w:rsidRDefault="005C6C42" w:rsidP="00051ED9">
      <w:r w:rsidRPr="00CC40EA">
        <w:rPr>
          <w:rFonts w:asciiTheme="minorHAnsi" w:hAnsiTheme="minorHAnsi"/>
          <w:b/>
          <w:bCs/>
          <w:caps/>
          <w:sz w:val="20"/>
          <w:szCs w:val="20"/>
        </w:rPr>
        <w:fldChar w:fldCharType="end"/>
      </w:r>
    </w:p>
    <w:p w14:paraId="02C0204E" w14:textId="77777777" w:rsidR="00E066BA" w:rsidRDefault="00E066BA" w:rsidP="00051ED9"/>
    <w:p w14:paraId="1FA405FD" w14:textId="77777777" w:rsidR="00051ED9" w:rsidRDefault="00562917" w:rsidP="00772BDC">
      <w:r w:rsidRPr="00E203C2">
        <w:br w:type="page"/>
      </w:r>
    </w:p>
    <w:p w14:paraId="7286707C" w14:textId="76395836" w:rsidR="00D60568" w:rsidRDefault="00C83137" w:rsidP="00C83137">
      <w:pPr>
        <w:pStyle w:val="Heading1"/>
      </w:pPr>
      <w:bookmarkStart w:id="5" w:name="_Toc53649909"/>
      <w:bookmarkStart w:id="6" w:name="_Toc71123613"/>
      <w:r>
        <w:lastRenderedPageBreak/>
        <w:t>1</w:t>
      </w:r>
      <w:r w:rsidR="0013531E">
        <w:tab/>
      </w:r>
      <w:r>
        <w:t>Introduction</w:t>
      </w:r>
      <w:bookmarkEnd w:id="5"/>
      <w:bookmarkEnd w:id="6"/>
      <w:r>
        <w:t xml:space="preserve"> </w:t>
      </w:r>
    </w:p>
    <w:p w14:paraId="1E980BA7" w14:textId="2680893A" w:rsidR="00A12D81" w:rsidRDefault="00A12D81" w:rsidP="00A12D81">
      <w:r>
        <w:t xml:space="preserve">Novozymes applied to Food Standards Australia New Zealand (FSANZ) for permission to use the enzyme </w:t>
      </w:r>
      <w:r w:rsidRPr="00475A54">
        <w:t xml:space="preserve">subtilisin from a genetically modified </w:t>
      </w:r>
      <w:r w:rsidR="004C566B">
        <w:t xml:space="preserve">(GM) </w:t>
      </w:r>
      <w:r w:rsidRPr="00475A54">
        <w:t xml:space="preserve">strain of </w:t>
      </w:r>
      <w:r w:rsidRPr="00B05CCA">
        <w:rPr>
          <w:i/>
        </w:rPr>
        <w:t>Bacillus licheniformis</w:t>
      </w:r>
      <w:r w:rsidRPr="00475A54">
        <w:t xml:space="preserve"> containing the subtilisin gene from </w:t>
      </w:r>
      <w:r w:rsidRPr="00B05CCA">
        <w:rPr>
          <w:i/>
        </w:rPr>
        <w:t>Pyrococcus furiosus</w:t>
      </w:r>
      <w:r w:rsidRPr="00475A54">
        <w:t xml:space="preserve"> as a processing aid in the </w:t>
      </w:r>
      <w:r w:rsidR="005F09EB">
        <w:t xml:space="preserve">production of potable alcohol. </w:t>
      </w:r>
      <w:r w:rsidR="004667C3">
        <w:t xml:space="preserve">Subtilisin would be used </w:t>
      </w:r>
      <w:r w:rsidR="004C566B">
        <w:t xml:space="preserve">at </w:t>
      </w:r>
      <w:r w:rsidR="004667C3" w:rsidRPr="004667C3">
        <w:t>minimum levels necessary to achieve the desired effect and according to requirements for normal production following G</w:t>
      </w:r>
      <w:r w:rsidR="004667C3">
        <w:t xml:space="preserve">ood </w:t>
      </w:r>
      <w:r w:rsidR="004667C3" w:rsidRPr="004667C3">
        <w:t>M</w:t>
      </w:r>
      <w:r w:rsidR="004667C3">
        <w:t xml:space="preserve">anufacturing </w:t>
      </w:r>
      <w:r w:rsidR="004667C3" w:rsidRPr="004667C3">
        <w:t>P</w:t>
      </w:r>
      <w:r w:rsidR="004667C3">
        <w:t>rocess (GMP)</w:t>
      </w:r>
      <w:r w:rsidR="004667C3" w:rsidRPr="004667C3">
        <w:t>.</w:t>
      </w:r>
    </w:p>
    <w:p w14:paraId="00EBC00D" w14:textId="3DB67A31" w:rsidR="00C83137" w:rsidRDefault="00C83137" w:rsidP="00690206"/>
    <w:p w14:paraId="1C7A6FB6" w14:textId="1061150E" w:rsidR="00C83137" w:rsidRDefault="00A12D81" w:rsidP="00A12D81">
      <w:r>
        <w:t xml:space="preserve">Subtilisin is a serine proteinase. There is currently permission </w:t>
      </w:r>
      <w:r w:rsidR="00B7622B">
        <w:t xml:space="preserve">in the Australia New Zealand Food Standards Code (the Code) </w:t>
      </w:r>
      <w:r>
        <w:t xml:space="preserve">to use serine proteinase of microbial origin (EC 3.4.21.14) as a processing aid including with </w:t>
      </w:r>
      <w:r w:rsidRPr="00A12D81">
        <w:rPr>
          <w:i/>
        </w:rPr>
        <w:t>B. licheniformis</w:t>
      </w:r>
      <w:r>
        <w:t xml:space="preserve"> as the source, but not containing the gene for subtilisin from </w:t>
      </w:r>
      <w:r w:rsidRPr="00A12D81">
        <w:rPr>
          <w:i/>
        </w:rPr>
        <w:t>P</w:t>
      </w:r>
      <w:r w:rsidR="004E4D11">
        <w:rPr>
          <w:i/>
        </w:rPr>
        <w:t>.</w:t>
      </w:r>
      <w:r w:rsidRPr="00A12D81">
        <w:rPr>
          <w:i/>
        </w:rPr>
        <w:t xml:space="preserve"> furiosus</w:t>
      </w:r>
      <w:r>
        <w:t>. Th</w:t>
      </w:r>
      <w:r w:rsidR="00671CEC">
        <w:t>e current</w:t>
      </w:r>
      <w:r>
        <w:t xml:space="preserve"> permission</w:t>
      </w:r>
      <w:r w:rsidR="00671CEC">
        <w:t xml:space="preserve"> is</w:t>
      </w:r>
      <w:r>
        <w:t xml:space="preserve"> for general use in food rather than</w:t>
      </w:r>
      <w:r w:rsidR="005F09EB">
        <w:t xml:space="preserve"> a</w:t>
      </w:r>
      <w:r>
        <w:t xml:space="preserve"> specific use for potable alcohol as requested in this application. Assessment of the </w:t>
      </w:r>
      <w:r w:rsidR="00671CEC">
        <w:t xml:space="preserve">enzyme </w:t>
      </w:r>
      <w:r>
        <w:t>is limited to use in potable alcohol.</w:t>
      </w:r>
    </w:p>
    <w:p w14:paraId="405A24FB" w14:textId="773BF839" w:rsidR="00C83137" w:rsidRDefault="00C83137" w:rsidP="00F21A4E">
      <w:pPr>
        <w:pStyle w:val="Heading2"/>
      </w:pPr>
      <w:bookmarkStart w:id="7" w:name="_Toc53649910"/>
      <w:bookmarkStart w:id="8" w:name="_Toc71123614"/>
      <w:r>
        <w:t>1.1</w:t>
      </w:r>
      <w:r>
        <w:tab/>
        <w:t>Objectives of the assessment</w:t>
      </w:r>
      <w:bookmarkEnd w:id="7"/>
      <w:bookmarkEnd w:id="8"/>
    </w:p>
    <w:p w14:paraId="1B0E18DC" w14:textId="0098B1D1" w:rsidR="00C83137" w:rsidRDefault="00C83137" w:rsidP="00C83137">
      <w:r>
        <w:t>The objectives of this risk and technical assessment were to:</w:t>
      </w:r>
    </w:p>
    <w:p w14:paraId="7CEA4450" w14:textId="77777777" w:rsidR="00C83137" w:rsidRDefault="00C83137" w:rsidP="00C83137"/>
    <w:p w14:paraId="06DC7E9A" w14:textId="2949BE6D" w:rsidR="00C83137" w:rsidRDefault="00E47B32" w:rsidP="00C83137">
      <w:pPr>
        <w:pStyle w:val="FSBullet1"/>
      </w:pPr>
      <w:r w:rsidRPr="00C83137">
        <w:t xml:space="preserve">determine whether the proposed purpose </w:t>
      </w:r>
      <w:r>
        <w:t xml:space="preserve">of the enzyme </w:t>
      </w:r>
      <w:r w:rsidRPr="00C83137">
        <w:t>is clearly stated</w:t>
      </w:r>
      <w:r>
        <w:t xml:space="preserve"> </w:t>
      </w:r>
      <w:r w:rsidR="00C83137">
        <w:t>and that the enzyme achieves its technological function in the quantity and form proposed to be used as a processing aid</w:t>
      </w:r>
      <w:r w:rsidR="00A12D81">
        <w:t xml:space="preserve"> specifically in the production of potable alcohol </w:t>
      </w:r>
    </w:p>
    <w:p w14:paraId="53F182C8" w14:textId="609457D5" w:rsidR="00C83137" w:rsidRDefault="00C83137" w:rsidP="00C83137">
      <w:pPr>
        <w:pStyle w:val="FSBullet1"/>
      </w:pPr>
      <w:r>
        <w:t xml:space="preserve">evaluate public health and safety concerns that may arise from the use of this enzyme, produced by a </w:t>
      </w:r>
      <w:r w:rsidR="00715E9A">
        <w:t xml:space="preserve">genetically modified </w:t>
      </w:r>
      <w:r>
        <w:t>microorganism, as a processing aid</w:t>
      </w:r>
      <w:r w:rsidR="00715E9A">
        <w:t>, s</w:t>
      </w:r>
      <w:r>
        <w:t>pecifically by considering the:</w:t>
      </w:r>
    </w:p>
    <w:p w14:paraId="73330C45" w14:textId="5CAAE6ED" w:rsidR="00C83137" w:rsidRDefault="00C83137" w:rsidP="00C83137">
      <w:pPr>
        <w:pStyle w:val="FSBullet2"/>
      </w:pPr>
      <w:r>
        <w:t>history of use of the gene donor and production microorganisms</w:t>
      </w:r>
    </w:p>
    <w:p w14:paraId="086A9633" w14:textId="79CD39A9" w:rsidR="00C83137" w:rsidRDefault="00C83137" w:rsidP="00C83137">
      <w:pPr>
        <w:pStyle w:val="FSBullet2"/>
      </w:pPr>
      <w:r>
        <w:tab/>
        <w:t>characterisation of the genetic modification(s)</w:t>
      </w:r>
    </w:p>
    <w:p w14:paraId="32DC2C95" w14:textId="7CFAD848" w:rsidR="00475A54" w:rsidRDefault="00C83137" w:rsidP="00C83137">
      <w:pPr>
        <w:pStyle w:val="FSBullet2"/>
      </w:pPr>
      <w:r>
        <w:tab/>
        <w:t>safety of the enzyme.</w:t>
      </w:r>
    </w:p>
    <w:p w14:paraId="3E4837DE" w14:textId="6B601FE6" w:rsidR="00C83137" w:rsidRDefault="00C83137" w:rsidP="00C83137">
      <w:pPr>
        <w:pStyle w:val="FSBullet2"/>
        <w:numPr>
          <w:ilvl w:val="0"/>
          <w:numId w:val="0"/>
        </w:numPr>
        <w:ind w:left="1134" w:hanging="567"/>
      </w:pPr>
    </w:p>
    <w:p w14:paraId="61B4A5B3" w14:textId="145E6BA4" w:rsidR="00C83137" w:rsidRDefault="00C83137" w:rsidP="00C83137">
      <w:pPr>
        <w:pStyle w:val="FSBullet2"/>
        <w:numPr>
          <w:ilvl w:val="0"/>
          <w:numId w:val="0"/>
        </w:numPr>
        <w:ind w:left="567" w:hanging="567"/>
      </w:pPr>
    </w:p>
    <w:p w14:paraId="7093BEA6" w14:textId="77777777" w:rsidR="00C83137" w:rsidRDefault="00C83137">
      <w:pPr>
        <w:widowControl/>
        <w:rPr>
          <w:b/>
          <w:bCs/>
          <w:sz w:val="36"/>
          <w:szCs w:val="28"/>
          <w:lang w:bidi="ar-SA"/>
        </w:rPr>
      </w:pPr>
      <w:bookmarkStart w:id="9" w:name="_Toc21698194"/>
      <w:bookmarkStart w:id="10" w:name="_Toc50713732"/>
      <w:r>
        <w:rPr>
          <w:b/>
          <w:bCs/>
          <w:sz w:val="36"/>
          <w:szCs w:val="28"/>
          <w:lang w:bidi="ar-SA"/>
        </w:rPr>
        <w:br w:type="page"/>
      </w:r>
    </w:p>
    <w:p w14:paraId="0A39D196" w14:textId="6279AAA1" w:rsidR="00475A54" w:rsidRPr="00475A54" w:rsidRDefault="00475A54" w:rsidP="00475A54">
      <w:pPr>
        <w:keepNext/>
        <w:spacing w:before="240" w:after="240"/>
        <w:outlineLvl w:val="0"/>
        <w:rPr>
          <w:b/>
          <w:bCs/>
          <w:sz w:val="36"/>
          <w:szCs w:val="28"/>
          <w:lang w:bidi="ar-SA"/>
        </w:rPr>
      </w:pPr>
      <w:bookmarkStart w:id="11" w:name="_Toc53649911"/>
      <w:bookmarkStart w:id="12" w:name="_Toc71123615"/>
      <w:r w:rsidRPr="00475A54">
        <w:rPr>
          <w:b/>
          <w:bCs/>
          <w:sz w:val="36"/>
          <w:szCs w:val="28"/>
          <w:lang w:bidi="ar-SA"/>
        </w:rPr>
        <w:lastRenderedPageBreak/>
        <w:t>2</w:t>
      </w:r>
      <w:r w:rsidRPr="00475A54">
        <w:rPr>
          <w:b/>
          <w:bCs/>
          <w:sz w:val="36"/>
          <w:szCs w:val="28"/>
          <w:lang w:bidi="ar-SA"/>
        </w:rPr>
        <w:tab/>
        <w:t>Food technology assessment</w:t>
      </w:r>
      <w:bookmarkEnd w:id="9"/>
      <w:bookmarkEnd w:id="10"/>
      <w:bookmarkEnd w:id="11"/>
      <w:bookmarkEnd w:id="12"/>
    </w:p>
    <w:p w14:paraId="4DF3528E" w14:textId="77777777" w:rsidR="00FE7B6D" w:rsidRPr="00475A54" w:rsidRDefault="00FE7B6D" w:rsidP="00FE7B6D">
      <w:pPr>
        <w:keepNext/>
        <w:numPr>
          <w:ilvl w:val="1"/>
          <w:numId w:val="4"/>
        </w:numPr>
        <w:spacing w:before="240" w:after="240"/>
        <w:outlineLvl w:val="1"/>
        <w:rPr>
          <w:rFonts w:cs="Arial"/>
          <w:b/>
          <w:bCs/>
          <w:sz w:val="28"/>
          <w:szCs w:val="22"/>
          <w:lang w:bidi="ar-SA"/>
        </w:rPr>
      </w:pPr>
      <w:bookmarkStart w:id="13" w:name="_Toc53649912"/>
      <w:bookmarkStart w:id="14" w:name="_Toc71123616"/>
      <w:r w:rsidRPr="00475A54">
        <w:rPr>
          <w:rFonts w:cs="Arial"/>
          <w:b/>
          <w:bCs/>
          <w:sz w:val="28"/>
          <w:szCs w:val="22"/>
          <w:lang w:bidi="ar-SA"/>
        </w:rPr>
        <w:t>Characterisation of the enzyme</w:t>
      </w:r>
      <w:bookmarkEnd w:id="13"/>
      <w:bookmarkEnd w:id="14"/>
    </w:p>
    <w:p w14:paraId="0AB2E50F" w14:textId="77777777" w:rsidR="00FE7B6D" w:rsidRPr="00746D48" w:rsidRDefault="00FE7B6D" w:rsidP="000A4A62">
      <w:pPr>
        <w:pStyle w:val="Heading3"/>
      </w:pPr>
      <w:bookmarkStart w:id="15" w:name="_Toc16234314"/>
      <w:bookmarkStart w:id="16" w:name="_Toc50713734"/>
      <w:bookmarkStart w:id="17" w:name="_Toc19182076"/>
      <w:bookmarkStart w:id="18" w:name="_Toc21698196"/>
      <w:r w:rsidRPr="00746D48">
        <w:t>2.1.1</w:t>
      </w:r>
      <w:r w:rsidRPr="00746D48">
        <w:tab/>
        <w:t xml:space="preserve">Identity of the </w:t>
      </w:r>
      <w:bookmarkEnd w:id="15"/>
      <w:r w:rsidRPr="00746D48">
        <w:t>enzyme</w:t>
      </w:r>
      <w:bookmarkEnd w:id="16"/>
      <w:r w:rsidRPr="00746D48">
        <w:t xml:space="preserve"> </w:t>
      </w:r>
      <w:bookmarkEnd w:id="17"/>
      <w:bookmarkEnd w:id="18"/>
    </w:p>
    <w:p w14:paraId="0C0A3144" w14:textId="48333A29" w:rsidR="00FE7B6D" w:rsidRPr="00475A54" w:rsidRDefault="00FE7B6D" w:rsidP="00FE7B6D">
      <w:r w:rsidRPr="00475A54">
        <w:t xml:space="preserve">The applicant provided relevant information regarding the identity of the </w:t>
      </w:r>
      <w:r w:rsidR="00A40C03" w:rsidRPr="00746D48">
        <w:rPr>
          <w:rFonts w:cs="Arial"/>
        </w:rPr>
        <w:t>subtilisin</w:t>
      </w:r>
      <w:r w:rsidR="00A40C03" w:rsidRPr="00475A54">
        <w:t xml:space="preserve"> </w:t>
      </w:r>
      <w:r w:rsidRPr="00475A54">
        <w:t xml:space="preserve">enzyme, and this has been verified using </w:t>
      </w:r>
      <w:r>
        <w:t xml:space="preserve">the </w:t>
      </w:r>
      <w:r w:rsidRPr="00FF2583">
        <w:t xml:space="preserve">International Union of Biochemistry and Molecular Biology (IUBMB) </w:t>
      </w:r>
      <w:r w:rsidRPr="00475A54">
        <w:t xml:space="preserve">enzyme nomenclature reference (IUBMB 2020). </w:t>
      </w:r>
    </w:p>
    <w:p w14:paraId="7E10B5BF" w14:textId="77777777" w:rsidR="00FE7B6D" w:rsidRPr="00475A54" w:rsidRDefault="00FE7B6D" w:rsidP="00FE7B6D">
      <w:r w:rsidRPr="00475A54">
        <w:tab/>
      </w:r>
    </w:p>
    <w:p w14:paraId="62195B7E" w14:textId="77777777" w:rsidR="00FE7B6D" w:rsidRPr="00475A54" w:rsidRDefault="00FE7B6D" w:rsidP="00FE7B6D">
      <w:r w:rsidRPr="00E74E2F">
        <w:rPr>
          <w:b/>
          <w:i/>
        </w:rPr>
        <w:t>Accepted IUBMB</w:t>
      </w:r>
      <w:r w:rsidRPr="00E74E2F">
        <w:rPr>
          <w:b/>
          <w:i/>
          <w:vertAlign w:val="superscript"/>
        </w:rPr>
        <w:footnoteReference w:id="2"/>
      </w:r>
      <w:r w:rsidRPr="00E74E2F">
        <w:rPr>
          <w:b/>
          <w:i/>
        </w:rPr>
        <w:t xml:space="preserve"> name:</w:t>
      </w:r>
      <w:r w:rsidRPr="00475A54">
        <w:tab/>
      </w:r>
      <w:r w:rsidRPr="00475A54">
        <w:tab/>
      </w:r>
      <w:r w:rsidRPr="00746D48">
        <w:rPr>
          <w:rFonts w:cs="Arial"/>
        </w:rPr>
        <w:t>subtilisin</w:t>
      </w:r>
    </w:p>
    <w:p w14:paraId="01D7DB67" w14:textId="77777777" w:rsidR="00FE7B6D" w:rsidRPr="00475A54" w:rsidRDefault="00FE7B6D" w:rsidP="00FE7B6D"/>
    <w:p w14:paraId="51089DBD" w14:textId="77777777" w:rsidR="00FE7B6D" w:rsidRPr="00475A54" w:rsidRDefault="00FE7B6D" w:rsidP="00FE7B6D">
      <w:pPr>
        <w:tabs>
          <w:tab w:val="left" w:pos="567"/>
          <w:tab w:val="left" w:pos="1134"/>
          <w:tab w:val="left" w:pos="1701"/>
          <w:tab w:val="left" w:pos="2268"/>
          <w:tab w:val="left" w:pos="2835"/>
          <w:tab w:val="left" w:pos="3402"/>
          <w:tab w:val="left" w:pos="4536"/>
          <w:tab w:val="left" w:pos="5103"/>
          <w:tab w:val="left" w:pos="5670"/>
          <w:tab w:val="left" w:pos="6237"/>
          <w:tab w:val="left" w:pos="6804"/>
          <w:tab w:val="left" w:pos="7371"/>
          <w:tab w:val="left" w:pos="7950"/>
        </w:tabs>
        <w:ind w:left="3402" w:hanging="3402"/>
      </w:pPr>
      <w:r w:rsidRPr="00E74E2F">
        <w:rPr>
          <w:b/>
          <w:i/>
        </w:rPr>
        <w:t>Other names:</w:t>
      </w:r>
      <w:r w:rsidRPr="00475A54">
        <w:tab/>
      </w:r>
      <w:r w:rsidRPr="00475A54">
        <w:tab/>
      </w:r>
      <w:r w:rsidRPr="00475A54">
        <w:tab/>
      </w:r>
      <w:r w:rsidRPr="00475A54">
        <w:tab/>
      </w:r>
      <w:r>
        <w:t xml:space="preserve">alcalase, bacillopeptidase A, bacillopeptidase B, protease S, </w:t>
      </w:r>
      <w:r w:rsidRPr="00F73B97">
        <w:t>subtilopeptidase</w:t>
      </w:r>
      <w:r>
        <w:t xml:space="preserve">, </w:t>
      </w:r>
      <w:r w:rsidRPr="00F73B97">
        <w:t>thermoase</w:t>
      </w:r>
      <w:r>
        <w:t>, and other names listed by IUBMB (</w:t>
      </w:r>
      <w:r w:rsidRPr="00E74E2F">
        <w:t>IUBMB 2020</w:t>
      </w:r>
      <w:r>
        <w:t>)</w:t>
      </w:r>
      <w:r w:rsidRPr="00E74E2F">
        <w:t xml:space="preserve"> </w:t>
      </w:r>
    </w:p>
    <w:p w14:paraId="529832A7" w14:textId="77777777" w:rsidR="00FE7B6D" w:rsidRPr="00475A54" w:rsidRDefault="00FE7B6D" w:rsidP="00FE7B6D"/>
    <w:p w14:paraId="33DC1D17" w14:textId="77777777" w:rsidR="00FE7B6D" w:rsidRPr="00475A54" w:rsidRDefault="00FE7B6D" w:rsidP="00FE7B6D">
      <w:r w:rsidRPr="00E74E2F">
        <w:rPr>
          <w:b/>
          <w:i/>
        </w:rPr>
        <w:t>IUBMB enzyme nomenclature:</w:t>
      </w:r>
      <w:r w:rsidRPr="00475A54">
        <w:tab/>
        <w:t>EC 3.</w:t>
      </w:r>
      <w:r w:rsidRPr="002A26CC">
        <w:t>4.21.62</w:t>
      </w:r>
    </w:p>
    <w:p w14:paraId="1E54CED4" w14:textId="77777777" w:rsidR="00FE7B6D" w:rsidRPr="00475A54" w:rsidRDefault="00FE7B6D" w:rsidP="00FE7B6D">
      <w:pPr>
        <w:tabs>
          <w:tab w:val="left" w:pos="6100"/>
        </w:tabs>
      </w:pPr>
      <w:r w:rsidRPr="00475A54">
        <w:rPr>
          <w:color w:val="FF0000"/>
        </w:rPr>
        <w:tab/>
      </w:r>
    </w:p>
    <w:p w14:paraId="368F5BD4" w14:textId="77777777" w:rsidR="00FE7B6D" w:rsidRPr="00475A54" w:rsidRDefault="00FE7B6D" w:rsidP="00FE7B6D">
      <w:pPr>
        <w:rPr>
          <w:highlight w:val="yellow"/>
        </w:rPr>
      </w:pPr>
      <w:r w:rsidRPr="00061C23">
        <w:rPr>
          <w:b/>
        </w:rPr>
        <w:t>CAS</w:t>
      </w:r>
      <w:r w:rsidRPr="00061C23">
        <w:rPr>
          <w:b/>
          <w:vertAlign w:val="superscript"/>
        </w:rPr>
        <w:footnoteReference w:id="3"/>
      </w:r>
      <w:r w:rsidRPr="00061C23">
        <w:rPr>
          <w:b/>
        </w:rPr>
        <w:t xml:space="preserve"> number:</w:t>
      </w:r>
      <w:r w:rsidRPr="00475A54">
        <w:tab/>
      </w:r>
      <w:r w:rsidRPr="00475A54">
        <w:tab/>
      </w:r>
      <w:r w:rsidRPr="00475A54">
        <w:tab/>
      </w:r>
      <w:r w:rsidRPr="00475A54">
        <w:tab/>
        <w:t>90</w:t>
      </w:r>
      <w:r w:rsidRPr="00746D48">
        <w:t>14-01-1</w:t>
      </w:r>
    </w:p>
    <w:p w14:paraId="34C2B26D" w14:textId="77777777" w:rsidR="00FE7B6D" w:rsidRPr="00475A54" w:rsidRDefault="00FE7B6D" w:rsidP="00FE7B6D">
      <w:pPr>
        <w:rPr>
          <w:highlight w:val="yellow"/>
        </w:rPr>
      </w:pPr>
    </w:p>
    <w:p w14:paraId="2C43D458" w14:textId="77777777" w:rsidR="00FE7B6D" w:rsidRPr="00475A54" w:rsidRDefault="00FE7B6D" w:rsidP="00FE7B6D">
      <w:pPr>
        <w:ind w:left="3402" w:hanging="3402"/>
      </w:pPr>
      <w:r w:rsidRPr="00061C23">
        <w:rPr>
          <w:b/>
        </w:rPr>
        <w:t>Reaction:</w:t>
      </w:r>
      <w:r w:rsidRPr="00475A54">
        <w:t xml:space="preserve"> </w:t>
      </w:r>
      <w:r w:rsidRPr="00475A54">
        <w:tab/>
      </w:r>
      <w:r w:rsidRPr="00746D48">
        <w:t xml:space="preserve">Hydrolysis of proteins with broad specificity for peptide bonds, and a preference for a large uncharged residue in P1. Hydrolyses peptide amides. </w:t>
      </w:r>
    </w:p>
    <w:p w14:paraId="4135F827" w14:textId="77777777" w:rsidR="00FE7B6D" w:rsidRDefault="00FE7B6D" w:rsidP="00FE7B6D"/>
    <w:p w14:paraId="1F8F8172" w14:textId="0906207F" w:rsidR="00740703" w:rsidRDefault="00846A4A" w:rsidP="00FE7B6D">
      <w:pPr>
        <w:rPr>
          <w:lang w:eastAsia="en-AU" w:bidi="ar-SA"/>
        </w:rPr>
      </w:pPr>
      <w:r w:rsidRPr="00846A4A">
        <w:t>Subtilisin is a serine endopeptidase</w:t>
      </w:r>
      <w:r w:rsidR="00274EE2" w:rsidRPr="00274EE2">
        <w:t xml:space="preserve"> </w:t>
      </w:r>
      <w:r w:rsidR="00274EE2">
        <w:t>(</w:t>
      </w:r>
      <w:r w:rsidR="00274EE2" w:rsidRPr="00274EE2">
        <w:t>IUBMB 2020</w:t>
      </w:r>
      <w:r w:rsidR="00274EE2">
        <w:t>)</w:t>
      </w:r>
      <w:r>
        <w:t>, which are commonly referred to as a type of protease</w:t>
      </w:r>
      <w:r w:rsidRPr="00846A4A">
        <w:t xml:space="preserve"> </w:t>
      </w:r>
      <w:r>
        <w:t>(</w:t>
      </w:r>
      <w:r w:rsidRPr="00846A4A">
        <w:t>Campbell-Platt, 2018;</w:t>
      </w:r>
      <w:r>
        <w:t xml:space="preserve"> </w:t>
      </w:r>
      <w:r w:rsidR="00324A70" w:rsidRPr="00324A70">
        <w:t>Nagodawithana and Reed,1993</w:t>
      </w:r>
      <w:r>
        <w:t xml:space="preserve">). </w:t>
      </w:r>
      <w:r w:rsidR="00FE7B6D" w:rsidRPr="00D17578">
        <w:t xml:space="preserve">Subtilisin </w:t>
      </w:r>
      <w:r w:rsidR="00740703">
        <w:t>was originally part of a group of enzymes</w:t>
      </w:r>
      <w:r w:rsidR="00FE7B6D">
        <w:t xml:space="preserve"> numbered by the IUBMB as </w:t>
      </w:r>
      <w:r w:rsidR="00FE7B6D" w:rsidRPr="00E74E2F">
        <w:t>EC 3.4.21.14</w:t>
      </w:r>
      <w:r w:rsidR="00FE7B6D">
        <w:t xml:space="preserve">. The IUBMB has since transferred this to individual entries, including for </w:t>
      </w:r>
      <w:r w:rsidR="00FE7B6D" w:rsidRPr="00D17578">
        <w:rPr>
          <w:lang w:eastAsia="en-AU" w:bidi="ar-SA"/>
        </w:rPr>
        <w:t>subtilisin (EC 3.4.21.62</w:t>
      </w:r>
      <w:r w:rsidR="00FE7B6D">
        <w:rPr>
          <w:lang w:eastAsia="en-AU" w:bidi="ar-SA"/>
        </w:rPr>
        <w:t>), in</w:t>
      </w:r>
      <w:r w:rsidR="00FE7B6D">
        <w:t>stead of the original EC number</w:t>
      </w:r>
      <w:r>
        <w:t>,</w:t>
      </w:r>
      <w:r w:rsidR="00FE7B6D" w:rsidRPr="0057306D">
        <w:t xml:space="preserve"> </w:t>
      </w:r>
      <w:r w:rsidR="00FE7B6D">
        <w:t>EC 3.4.21.14</w:t>
      </w:r>
      <w:r w:rsidR="00FE7B6D">
        <w:rPr>
          <w:lang w:eastAsia="en-AU" w:bidi="ar-SA"/>
        </w:rPr>
        <w:t xml:space="preserve"> (IUBMB 2020).</w:t>
      </w:r>
      <w:r w:rsidR="00FE7B6D" w:rsidRPr="00D17578">
        <w:rPr>
          <w:lang w:eastAsia="en-AU" w:bidi="ar-SA"/>
        </w:rPr>
        <w:t xml:space="preserve"> </w:t>
      </w:r>
    </w:p>
    <w:p w14:paraId="44801234" w14:textId="77777777" w:rsidR="00740703" w:rsidRDefault="00740703" w:rsidP="00FE7B6D">
      <w:pPr>
        <w:rPr>
          <w:lang w:eastAsia="en-AU" w:bidi="ar-SA"/>
        </w:rPr>
      </w:pPr>
    </w:p>
    <w:p w14:paraId="4E7DD53F" w14:textId="234CD77B" w:rsidR="00FE7B6D" w:rsidRDefault="00FE7B6D" w:rsidP="00FE7B6D">
      <w:pPr>
        <w:rPr>
          <w:lang w:eastAsia="en-AU" w:bidi="ar-SA"/>
        </w:rPr>
      </w:pPr>
      <w:r>
        <w:rPr>
          <w:lang w:eastAsia="en-AU" w:bidi="ar-SA"/>
        </w:rPr>
        <w:t xml:space="preserve">Subtilisin </w:t>
      </w:r>
      <w:r w:rsidRPr="00D564B6">
        <w:rPr>
          <w:lang w:eastAsia="en-AU" w:bidi="ar-SA"/>
        </w:rPr>
        <w:t xml:space="preserve">with </w:t>
      </w:r>
      <w:r w:rsidRPr="00D564B6">
        <w:rPr>
          <w:i/>
          <w:lang w:eastAsia="en-AU" w:bidi="ar-SA"/>
        </w:rPr>
        <w:t>B. licheniformis</w:t>
      </w:r>
      <w:r w:rsidRPr="00D564B6">
        <w:rPr>
          <w:lang w:eastAsia="en-AU" w:bidi="ar-SA"/>
        </w:rPr>
        <w:t xml:space="preserve"> as the source, containing the gene for subtilisin from </w:t>
      </w:r>
      <w:r w:rsidRPr="00D564B6">
        <w:rPr>
          <w:i/>
          <w:lang w:eastAsia="en-AU" w:bidi="ar-SA"/>
        </w:rPr>
        <w:t>P</w:t>
      </w:r>
      <w:r w:rsidR="00846C77">
        <w:rPr>
          <w:i/>
          <w:lang w:eastAsia="en-AU" w:bidi="ar-SA"/>
        </w:rPr>
        <w:t>. </w:t>
      </w:r>
      <w:r w:rsidRPr="00D564B6">
        <w:rPr>
          <w:i/>
          <w:lang w:eastAsia="en-AU" w:bidi="ar-SA"/>
        </w:rPr>
        <w:t>furiosus</w:t>
      </w:r>
      <w:r>
        <w:rPr>
          <w:lang w:eastAsia="en-AU" w:bidi="ar-SA"/>
        </w:rPr>
        <w:t xml:space="preserve"> as requested in this application, is not currently permitted for use </w:t>
      </w:r>
      <w:r w:rsidR="004C566B">
        <w:rPr>
          <w:lang w:eastAsia="en-AU" w:bidi="ar-SA"/>
        </w:rPr>
        <w:t xml:space="preserve">as </w:t>
      </w:r>
      <w:r>
        <w:rPr>
          <w:lang w:eastAsia="en-AU" w:bidi="ar-SA"/>
        </w:rPr>
        <w:t>a processing aid in the Code.</w:t>
      </w:r>
    </w:p>
    <w:p w14:paraId="4C6AAD00" w14:textId="77777777" w:rsidR="00FE7B6D" w:rsidRDefault="00FE7B6D" w:rsidP="00FE7B6D">
      <w:pPr>
        <w:keepNext/>
        <w:numPr>
          <w:ilvl w:val="2"/>
          <w:numId w:val="0"/>
        </w:numPr>
        <w:spacing w:before="240" w:after="240"/>
        <w:ind w:left="720" w:hanging="720"/>
        <w:outlineLvl w:val="2"/>
        <w:rPr>
          <w:b/>
          <w:bCs/>
          <w:lang w:eastAsia="en-AU" w:bidi="ar-SA"/>
        </w:rPr>
      </w:pPr>
      <w:bookmarkStart w:id="19" w:name="_Toc16234316"/>
      <w:bookmarkStart w:id="20" w:name="_Toc19182078"/>
      <w:bookmarkStart w:id="21" w:name="_Toc21698198"/>
      <w:bookmarkStart w:id="22" w:name="_Toc50713735"/>
      <w:r>
        <w:rPr>
          <w:b/>
          <w:bCs/>
          <w:lang w:eastAsia="en-AU" w:bidi="ar-SA"/>
        </w:rPr>
        <w:t>2.1.2</w:t>
      </w:r>
      <w:r>
        <w:rPr>
          <w:b/>
          <w:bCs/>
          <w:lang w:eastAsia="en-AU" w:bidi="ar-SA"/>
        </w:rPr>
        <w:tab/>
      </w:r>
      <w:r w:rsidRPr="00475A54">
        <w:rPr>
          <w:b/>
          <w:bCs/>
          <w:lang w:eastAsia="en-AU" w:bidi="ar-SA"/>
        </w:rPr>
        <w:t>Technological purpose</w:t>
      </w:r>
      <w:r>
        <w:rPr>
          <w:b/>
          <w:bCs/>
          <w:lang w:eastAsia="en-AU" w:bidi="ar-SA"/>
        </w:rPr>
        <w:t xml:space="preserve"> and justification</w:t>
      </w:r>
      <w:r w:rsidRPr="00475A54">
        <w:rPr>
          <w:b/>
          <w:bCs/>
          <w:lang w:eastAsia="en-AU" w:bidi="ar-SA"/>
        </w:rPr>
        <w:t xml:space="preserve"> of the </w:t>
      </w:r>
      <w:bookmarkEnd w:id="19"/>
      <w:bookmarkEnd w:id="20"/>
      <w:bookmarkEnd w:id="21"/>
      <w:bookmarkEnd w:id="22"/>
      <w:r>
        <w:rPr>
          <w:b/>
          <w:bCs/>
          <w:lang w:eastAsia="en-AU" w:bidi="ar-SA"/>
        </w:rPr>
        <w:t>enzyme</w:t>
      </w:r>
      <w:r w:rsidRPr="00475A54">
        <w:rPr>
          <w:b/>
          <w:bCs/>
          <w:lang w:eastAsia="en-AU" w:bidi="ar-SA"/>
        </w:rPr>
        <w:t xml:space="preserve"> </w:t>
      </w:r>
    </w:p>
    <w:p w14:paraId="337BAE0B" w14:textId="54E2BEBF" w:rsidR="00FE7B6D" w:rsidRDefault="00FE7B6D" w:rsidP="00FE7B6D">
      <w:pPr>
        <w:rPr>
          <w:lang w:eastAsia="en-AU" w:bidi="ar-SA"/>
        </w:rPr>
      </w:pPr>
      <w:r>
        <w:rPr>
          <w:lang w:eastAsia="en-AU" w:bidi="ar-SA"/>
        </w:rPr>
        <w:t>Subtilisin h</w:t>
      </w:r>
      <w:r w:rsidRPr="00E72B6E">
        <w:rPr>
          <w:lang w:eastAsia="en-AU" w:bidi="ar-SA"/>
        </w:rPr>
        <w:t>ydrolys</w:t>
      </w:r>
      <w:r>
        <w:rPr>
          <w:lang w:eastAsia="en-AU" w:bidi="ar-SA"/>
        </w:rPr>
        <w:t>e</w:t>
      </w:r>
      <w:r w:rsidRPr="00E72B6E">
        <w:rPr>
          <w:lang w:eastAsia="en-AU" w:bidi="ar-SA"/>
        </w:rPr>
        <w:t xml:space="preserve">s proteins </w:t>
      </w:r>
      <w:r>
        <w:rPr>
          <w:lang w:eastAsia="en-AU" w:bidi="ar-SA"/>
        </w:rPr>
        <w:t xml:space="preserve">and </w:t>
      </w:r>
      <w:r w:rsidRPr="00E72B6E">
        <w:rPr>
          <w:lang w:eastAsia="en-AU" w:bidi="ar-SA"/>
        </w:rPr>
        <w:t>peptide amides</w:t>
      </w:r>
      <w:r>
        <w:rPr>
          <w:lang w:eastAsia="en-AU" w:bidi="ar-SA"/>
        </w:rPr>
        <w:t xml:space="preserve"> (IUBMB 2020)</w:t>
      </w:r>
      <w:r w:rsidRPr="00E72B6E">
        <w:rPr>
          <w:lang w:eastAsia="en-AU" w:bidi="ar-SA"/>
        </w:rPr>
        <w:t>.</w:t>
      </w:r>
      <w:r w:rsidR="00324A70">
        <w:rPr>
          <w:lang w:eastAsia="en-AU" w:bidi="ar-SA"/>
        </w:rPr>
        <w:t xml:space="preserve"> Proteases are commonly used in the manufacture of a range of foods to catalyse the degradation of proteins (</w:t>
      </w:r>
      <w:r w:rsidR="00274EE2" w:rsidRPr="00274EE2">
        <w:rPr>
          <w:lang w:eastAsia="en-AU" w:bidi="ar-SA"/>
        </w:rPr>
        <w:t>Nagodawithana and Reed,1993</w:t>
      </w:r>
      <w:r w:rsidR="00324A70">
        <w:rPr>
          <w:lang w:eastAsia="en-AU" w:bidi="ar-SA"/>
        </w:rPr>
        <w:t xml:space="preserve">). </w:t>
      </w:r>
    </w:p>
    <w:p w14:paraId="2AD0BC0E" w14:textId="77777777" w:rsidR="00FE7B6D" w:rsidRDefault="00FE7B6D" w:rsidP="00FE7B6D">
      <w:pPr>
        <w:rPr>
          <w:lang w:eastAsia="en-AU" w:bidi="ar-SA"/>
        </w:rPr>
      </w:pPr>
    </w:p>
    <w:p w14:paraId="24CB39AF" w14:textId="77777777" w:rsidR="00FE7B6D" w:rsidRDefault="00FE7B6D" w:rsidP="00FE7B6D">
      <w:pPr>
        <w:rPr>
          <w:lang w:eastAsia="en-AU" w:bidi="ar-SA"/>
        </w:rPr>
      </w:pPr>
      <w:r>
        <w:rPr>
          <w:lang w:eastAsia="en-AU" w:bidi="ar-SA"/>
        </w:rPr>
        <w:t xml:space="preserve">The applicant states that subtilisin preparations are used as a processing aid in potable alcohol production, to degrade proteins into peptides and amino acids. The benefits of this as stated by the applicant are lowering viscosity and fast and complete fermentation from released peptides and amino acids used as nutrients for yeast. </w:t>
      </w:r>
    </w:p>
    <w:p w14:paraId="2370A4D3" w14:textId="77777777" w:rsidR="00FE7B6D" w:rsidRDefault="00FE7B6D" w:rsidP="00FE7B6D">
      <w:pPr>
        <w:rPr>
          <w:lang w:eastAsia="en-AU" w:bidi="ar-SA"/>
        </w:rPr>
      </w:pPr>
    </w:p>
    <w:p w14:paraId="336FF99C" w14:textId="259685D2" w:rsidR="00FE7B6D" w:rsidRPr="00467788" w:rsidRDefault="00FE7B6D" w:rsidP="00FE7B6D">
      <w:pPr>
        <w:rPr>
          <w:lang w:eastAsia="en-AU" w:bidi="ar-SA"/>
        </w:rPr>
      </w:pPr>
      <w:r w:rsidRPr="00771CC9">
        <w:t xml:space="preserve">The technological purpose of the enzyme in degrading proteins which lowers viscosity and aids yeast growth </w:t>
      </w:r>
      <w:r w:rsidR="00C62C5B">
        <w:t xml:space="preserve">in alcohol production, </w:t>
      </w:r>
      <w:r w:rsidRPr="00771CC9">
        <w:t>as proposed in the application</w:t>
      </w:r>
      <w:r w:rsidR="00C62C5B">
        <w:t>,</w:t>
      </w:r>
      <w:r w:rsidRPr="00771CC9">
        <w:t xml:space="preserve"> is supported by t</w:t>
      </w:r>
      <w:r w:rsidR="00CF19B2">
        <w:t>he literature (Gomaa, AM, 2018</w:t>
      </w:r>
      <w:r w:rsidR="00CF19B2" w:rsidRPr="00467788">
        <w:t>).</w:t>
      </w:r>
      <w:r w:rsidRPr="00467788">
        <w:t xml:space="preserve"> </w:t>
      </w:r>
    </w:p>
    <w:p w14:paraId="69C7B008" w14:textId="77777777" w:rsidR="00FE7B6D" w:rsidRDefault="00FE7B6D" w:rsidP="00FE7B6D">
      <w:pPr>
        <w:rPr>
          <w:lang w:eastAsia="en-AU" w:bidi="ar-SA"/>
        </w:rPr>
      </w:pPr>
    </w:p>
    <w:p w14:paraId="3592B6E8" w14:textId="77777777" w:rsidR="00864448" w:rsidRDefault="00864448">
      <w:pPr>
        <w:widowControl/>
        <w:rPr>
          <w:lang w:eastAsia="en-AU" w:bidi="ar-SA"/>
        </w:rPr>
      </w:pPr>
      <w:r>
        <w:rPr>
          <w:lang w:eastAsia="en-AU" w:bidi="ar-SA"/>
        </w:rPr>
        <w:br w:type="page"/>
      </w:r>
    </w:p>
    <w:p w14:paraId="2CB9255C" w14:textId="5CEAC4F4" w:rsidR="00FE7B6D" w:rsidRDefault="00FE7B6D" w:rsidP="00FE7B6D">
      <w:pPr>
        <w:rPr>
          <w:lang w:eastAsia="en-AU" w:bidi="ar-SA"/>
        </w:rPr>
      </w:pPr>
      <w:r w:rsidRPr="00962224">
        <w:rPr>
          <w:lang w:eastAsia="en-AU" w:bidi="ar-SA"/>
        </w:rPr>
        <w:lastRenderedPageBreak/>
        <w:t>As noted by the applicant, the benefits of using enzymes in the production of potable alcohol can also be obtained by other means (without the use of enzymes or reduced use</w:t>
      </w:r>
      <w:r w:rsidR="00740703">
        <w:rPr>
          <w:lang w:eastAsia="en-AU" w:bidi="ar-SA"/>
        </w:rPr>
        <w:t xml:space="preserve"> of enzymes</w:t>
      </w:r>
      <w:r w:rsidRPr="00962224">
        <w:rPr>
          <w:lang w:eastAsia="en-AU" w:bidi="ar-SA"/>
        </w:rPr>
        <w:t>), such as modified production processes or recipe changes. However they suggest that using enzymes to hydrolyse protein in the production of potable alcohol provides the opportunity to improve the yield of potable alcohol production under environmentally friendly and cost-efficient production conditions.</w:t>
      </w:r>
      <w:r>
        <w:rPr>
          <w:lang w:eastAsia="en-AU" w:bidi="ar-SA"/>
        </w:rPr>
        <w:t xml:space="preserve"> The use of enzymes to improve processing and provide economic </w:t>
      </w:r>
      <w:r w:rsidRPr="001E5F8B">
        <w:rPr>
          <w:lang w:eastAsia="en-AU" w:bidi="ar-SA"/>
        </w:rPr>
        <w:t xml:space="preserve">benefits is supported by the literature (Campbell-Platt, </w:t>
      </w:r>
      <w:r w:rsidR="00274EE2">
        <w:rPr>
          <w:lang w:eastAsia="en-AU" w:bidi="ar-SA"/>
        </w:rPr>
        <w:t xml:space="preserve">G, </w:t>
      </w:r>
      <w:r w:rsidRPr="00324A70">
        <w:rPr>
          <w:lang w:eastAsia="en-AU" w:bidi="ar-SA"/>
        </w:rPr>
        <w:t>2018; Chaudhary</w:t>
      </w:r>
      <w:r w:rsidRPr="001E5F8B">
        <w:rPr>
          <w:lang w:eastAsia="en-AU" w:bidi="ar-SA"/>
        </w:rPr>
        <w:t xml:space="preserve">, S et al, 2015).  </w:t>
      </w:r>
    </w:p>
    <w:p w14:paraId="4EF0C9FB" w14:textId="25151748" w:rsidR="00AA15F4" w:rsidRDefault="00AA15F4" w:rsidP="00FE7B6D">
      <w:pPr>
        <w:rPr>
          <w:lang w:eastAsia="en-AU" w:bidi="ar-SA"/>
        </w:rPr>
      </w:pPr>
    </w:p>
    <w:p w14:paraId="3865A565" w14:textId="44E572FA" w:rsidR="00C0158C" w:rsidRDefault="00AA15F4" w:rsidP="00FE7B6D">
      <w:r w:rsidRPr="001C2160">
        <w:rPr>
          <w:lang w:eastAsia="en-AU" w:bidi="ar-SA"/>
        </w:rPr>
        <w:t xml:space="preserve">Use of commercial enzyme preparations should follow Good Manufacturing Practice (GMP), where use is at a level that is not higher than that necessary to achieve the desired enzymatic reaction. </w:t>
      </w:r>
      <w:r w:rsidR="00431F0E" w:rsidRPr="001C2160">
        <w:rPr>
          <w:lang w:eastAsia="en-AU" w:bidi="ar-SA"/>
        </w:rPr>
        <w:t>The conditions of use of the enzyme during potable alcohol production will depend on a number of factors including the nature of the application and the individual food manufacturers’ production processes. The optimum use level should be assessed and adjusted using trials that reflect their particular processes</w:t>
      </w:r>
      <w:r w:rsidR="00431F0E" w:rsidRPr="00D156CC">
        <w:rPr>
          <w:lang w:eastAsia="en-AU" w:bidi="ar-SA"/>
        </w:rPr>
        <w:t>.</w:t>
      </w:r>
      <w:r w:rsidR="00C0158C" w:rsidRPr="00D156CC">
        <w:rPr>
          <w:lang w:eastAsia="en-AU" w:bidi="ar-SA"/>
        </w:rPr>
        <w:t xml:space="preserve"> The applicant states that the highest recommended </w:t>
      </w:r>
      <w:r w:rsidR="00846C77">
        <w:rPr>
          <w:lang w:eastAsia="en-AU" w:bidi="ar-SA"/>
        </w:rPr>
        <w:t>use level</w:t>
      </w:r>
      <w:r w:rsidR="00846C77" w:rsidRPr="00D156CC">
        <w:rPr>
          <w:lang w:eastAsia="en-AU" w:bidi="ar-SA"/>
        </w:rPr>
        <w:t xml:space="preserve"> </w:t>
      </w:r>
      <w:r w:rsidR="00C0158C" w:rsidRPr="00D156CC">
        <w:rPr>
          <w:lang w:eastAsia="en-AU" w:bidi="ar-SA"/>
        </w:rPr>
        <w:t>of subtilisin during potable alcohol production is up to 90 PROT(A)</w:t>
      </w:r>
      <w:r w:rsidR="001B30EA">
        <w:rPr>
          <w:rStyle w:val="FootnoteReference"/>
          <w:lang w:eastAsia="en-AU" w:bidi="ar-SA"/>
        </w:rPr>
        <w:footnoteReference w:id="4"/>
      </w:r>
      <w:r w:rsidR="00C0158C" w:rsidRPr="00D156CC">
        <w:rPr>
          <w:lang w:eastAsia="en-AU" w:bidi="ar-SA"/>
        </w:rPr>
        <w:t xml:space="preserve"> per kg starch dry matter, which</w:t>
      </w:r>
      <w:r w:rsidR="00C0158C" w:rsidRPr="00D156CC">
        <w:t xml:space="preserve"> corresponds to 0.3 g of subtilisin enzyme preparation per kg starch dry matter</w:t>
      </w:r>
      <w:r w:rsidR="001C2160" w:rsidRPr="00D156CC">
        <w:t>,</w:t>
      </w:r>
      <w:r w:rsidR="00C0158C" w:rsidRPr="00D156CC">
        <w:t xml:space="preserve"> equivalent to 9 mg </w:t>
      </w:r>
      <w:r w:rsidR="001C2160" w:rsidRPr="00D156CC">
        <w:t>total organic</w:t>
      </w:r>
      <w:r w:rsidR="001C2160">
        <w:t xml:space="preserve"> solids (</w:t>
      </w:r>
      <w:r w:rsidR="00C0158C" w:rsidRPr="00C0158C">
        <w:t>TOS</w:t>
      </w:r>
      <w:r w:rsidR="001C2160">
        <w:t>)</w:t>
      </w:r>
      <w:r w:rsidR="00C0158C" w:rsidRPr="00C0158C">
        <w:t xml:space="preserve"> per kg starch dry matter</w:t>
      </w:r>
      <w:r w:rsidR="006C7C86">
        <w:rPr>
          <w:rStyle w:val="FootnoteReference"/>
        </w:rPr>
        <w:footnoteReference w:id="5"/>
      </w:r>
      <w:r w:rsidR="00C0158C" w:rsidRPr="00C0158C">
        <w:t xml:space="preserve">.  </w:t>
      </w:r>
    </w:p>
    <w:p w14:paraId="55DAF6F7" w14:textId="77777777" w:rsidR="00FE7B6D" w:rsidRPr="00C3081F" w:rsidRDefault="00FE7B6D" w:rsidP="00FE7B6D">
      <w:pPr>
        <w:keepNext/>
        <w:numPr>
          <w:ilvl w:val="1"/>
          <w:numId w:val="4"/>
        </w:numPr>
        <w:spacing w:before="240" w:after="240"/>
        <w:outlineLvl w:val="1"/>
        <w:rPr>
          <w:rFonts w:cs="Arial"/>
          <w:b/>
          <w:bCs/>
          <w:sz w:val="28"/>
          <w:szCs w:val="22"/>
          <w:lang w:bidi="ar-SA"/>
        </w:rPr>
      </w:pPr>
      <w:bookmarkStart w:id="23" w:name="_Toc16234319"/>
      <w:bookmarkStart w:id="24" w:name="_Toc19182081"/>
      <w:bookmarkStart w:id="25" w:name="_Toc21698201"/>
      <w:bookmarkStart w:id="26" w:name="_Toc50713737"/>
      <w:bookmarkStart w:id="27" w:name="_Toc53649913"/>
      <w:bookmarkStart w:id="28" w:name="_Toc71123617"/>
      <w:bookmarkEnd w:id="23"/>
      <w:bookmarkEnd w:id="24"/>
      <w:bookmarkEnd w:id="25"/>
      <w:r w:rsidRPr="00C3081F">
        <w:rPr>
          <w:rFonts w:cs="Arial"/>
          <w:b/>
          <w:bCs/>
          <w:sz w:val="28"/>
          <w:szCs w:val="22"/>
          <w:lang w:bidi="ar-SA"/>
        </w:rPr>
        <w:t>Manufacturing process</w:t>
      </w:r>
      <w:bookmarkEnd w:id="26"/>
      <w:bookmarkEnd w:id="27"/>
      <w:bookmarkEnd w:id="28"/>
    </w:p>
    <w:p w14:paraId="4C413294" w14:textId="77777777" w:rsidR="00FE7B6D" w:rsidRPr="00C3081F" w:rsidRDefault="00FE7B6D" w:rsidP="00FE7B6D">
      <w:pPr>
        <w:keepNext/>
        <w:numPr>
          <w:ilvl w:val="2"/>
          <w:numId w:val="0"/>
        </w:numPr>
        <w:spacing w:before="240" w:after="240"/>
        <w:ind w:left="720" w:hanging="720"/>
        <w:outlineLvl w:val="2"/>
        <w:rPr>
          <w:b/>
          <w:bCs/>
          <w:lang w:eastAsia="en-AU" w:bidi="ar-SA"/>
        </w:rPr>
      </w:pPr>
      <w:bookmarkStart w:id="29" w:name="_Toc50713738"/>
      <w:r w:rsidRPr="00C3081F">
        <w:rPr>
          <w:b/>
          <w:bCs/>
          <w:lang w:eastAsia="en-AU" w:bidi="ar-SA"/>
        </w:rPr>
        <w:t>2.2.1</w:t>
      </w:r>
      <w:r w:rsidRPr="00C3081F">
        <w:rPr>
          <w:b/>
          <w:bCs/>
          <w:lang w:eastAsia="en-AU" w:bidi="ar-SA"/>
        </w:rPr>
        <w:tab/>
        <w:t>Production of the enzyme</w:t>
      </w:r>
      <w:bookmarkEnd w:id="29"/>
      <w:r w:rsidRPr="00C3081F">
        <w:rPr>
          <w:b/>
          <w:bCs/>
          <w:lang w:eastAsia="en-AU" w:bidi="ar-SA"/>
        </w:rPr>
        <w:t xml:space="preserve"> </w:t>
      </w:r>
    </w:p>
    <w:p w14:paraId="7C3E313A" w14:textId="7DB3578E" w:rsidR="00FE7B6D" w:rsidRDefault="00FE7B6D" w:rsidP="00FE7B6D">
      <w:pPr>
        <w:rPr>
          <w:lang w:eastAsia="en-AU" w:bidi="ar-SA"/>
        </w:rPr>
      </w:pPr>
      <w:r>
        <w:rPr>
          <w:lang w:eastAsia="en-AU" w:bidi="ar-SA"/>
        </w:rPr>
        <w:t>The enzyme is produced using a standard manufacturing process, which is comprised of a fermentation process, a purification process and a formulation process, followed by quality control of the finished product, as o</w:t>
      </w:r>
      <w:r w:rsidR="00846C77">
        <w:rPr>
          <w:lang w:eastAsia="en-AU" w:bidi="ar-SA"/>
        </w:rPr>
        <w:t>utlined by Anstrup</w:t>
      </w:r>
      <w:r w:rsidR="00B34C47">
        <w:rPr>
          <w:lang w:eastAsia="en-AU" w:bidi="ar-SA"/>
        </w:rPr>
        <w:t>,</w:t>
      </w:r>
      <w:r w:rsidR="00846C77">
        <w:rPr>
          <w:lang w:eastAsia="en-AU" w:bidi="ar-SA"/>
        </w:rPr>
        <w:t xml:space="preserve"> 1979. </w:t>
      </w:r>
      <w:r>
        <w:rPr>
          <w:lang w:eastAsia="en-AU" w:bidi="ar-SA"/>
        </w:rPr>
        <w:t xml:space="preserve">Detail is provided in section A.4 of the application. </w:t>
      </w:r>
    </w:p>
    <w:p w14:paraId="78F379A0" w14:textId="77777777" w:rsidR="00FE7B6D" w:rsidRDefault="00FE7B6D" w:rsidP="00FE7B6D">
      <w:pPr>
        <w:rPr>
          <w:lang w:eastAsia="en-AU" w:bidi="ar-SA"/>
        </w:rPr>
      </w:pPr>
    </w:p>
    <w:p w14:paraId="2F8DDD32" w14:textId="27CC643C" w:rsidR="00FE7B6D" w:rsidRPr="00C3081F" w:rsidRDefault="00815FEC" w:rsidP="00FE7B6D">
      <w:pPr>
        <w:rPr>
          <w:lang w:eastAsia="en-AU" w:bidi="ar-SA"/>
        </w:rPr>
      </w:pPr>
      <w:r>
        <w:rPr>
          <w:lang w:eastAsia="en-AU" w:bidi="ar-SA"/>
        </w:rPr>
        <w:t>Enzymes are generally sold as enzyme preparations</w:t>
      </w:r>
      <w:r w:rsidR="00864448">
        <w:rPr>
          <w:lang w:eastAsia="en-AU" w:bidi="ar-SA"/>
        </w:rPr>
        <w:t>,</w:t>
      </w:r>
      <w:r>
        <w:rPr>
          <w:lang w:eastAsia="en-AU" w:bidi="ar-SA"/>
        </w:rPr>
        <w:t xml:space="preserve"> which consist of the enzyme(s) and other ingredients</w:t>
      </w:r>
      <w:r w:rsidR="00864448">
        <w:rPr>
          <w:lang w:eastAsia="en-AU" w:bidi="ar-SA"/>
        </w:rPr>
        <w:t>,</w:t>
      </w:r>
      <w:r>
        <w:rPr>
          <w:lang w:eastAsia="en-AU" w:bidi="ar-SA"/>
        </w:rPr>
        <w:t xml:space="preserve"> to facilitate their storage, sale, standardisation, dilution or dissolution.</w:t>
      </w:r>
      <w:r w:rsidDel="00815FEC">
        <w:rPr>
          <w:lang w:eastAsia="en-AU" w:bidi="ar-SA"/>
        </w:rPr>
        <w:t xml:space="preserve"> </w:t>
      </w:r>
      <w:r w:rsidR="00FE7B6D">
        <w:rPr>
          <w:lang w:eastAsia="en-AU" w:bidi="ar-SA"/>
        </w:rPr>
        <w:t xml:space="preserve">Novozymes’ enzyme preparation is composed of the enzyme solids, water, glycerol as a stabiliser and sodium benzoate and potassium sorbate as preservatives. The enzyme preparation is a light to dark brown liquid. Novozymes has confirmed that their subtilisin enzyme preparation is only provided in a liquid form. </w:t>
      </w:r>
    </w:p>
    <w:p w14:paraId="706B9A8E" w14:textId="77777777" w:rsidR="00FE7B6D" w:rsidRPr="007567EB" w:rsidRDefault="00FE7B6D" w:rsidP="00FE7B6D">
      <w:pPr>
        <w:keepNext/>
        <w:numPr>
          <w:ilvl w:val="2"/>
          <w:numId w:val="0"/>
        </w:numPr>
        <w:spacing w:before="240" w:after="240"/>
        <w:ind w:left="720" w:hanging="720"/>
        <w:outlineLvl w:val="2"/>
        <w:rPr>
          <w:b/>
          <w:bCs/>
          <w:lang w:eastAsia="en-AU" w:bidi="ar-SA"/>
        </w:rPr>
      </w:pPr>
      <w:bookmarkStart w:id="30" w:name="_Toc39584748"/>
      <w:bookmarkStart w:id="31" w:name="_Toc50713739"/>
      <w:r w:rsidRPr="007567EB">
        <w:rPr>
          <w:b/>
          <w:bCs/>
          <w:lang w:eastAsia="en-AU" w:bidi="ar-SA"/>
        </w:rPr>
        <w:t>2.2.2</w:t>
      </w:r>
      <w:r w:rsidRPr="007567EB">
        <w:rPr>
          <w:b/>
          <w:bCs/>
          <w:lang w:eastAsia="en-AU" w:bidi="ar-SA"/>
        </w:rPr>
        <w:tab/>
        <w:t>Allergen considerations</w:t>
      </w:r>
      <w:bookmarkEnd w:id="30"/>
      <w:bookmarkEnd w:id="31"/>
    </w:p>
    <w:p w14:paraId="6B154028" w14:textId="4A3C2DB3" w:rsidR="00FE7B6D" w:rsidRDefault="00FE7B6D" w:rsidP="00FE7B6D">
      <w:pPr>
        <w:rPr>
          <w:lang w:val="en-US"/>
        </w:rPr>
      </w:pPr>
      <w:r>
        <w:rPr>
          <w:lang w:val="en-US"/>
        </w:rPr>
        <w:t xml:space="preserve">Glucose syrup may be used as a raw material in the fermentation process in the manufacture of the enzyme. The glucose syrup could potentially be sourced from wheat. FSANZ has previously concluded that </w:t>
      </w:r>
      <w:r w:rsidRPr="003532D2">
        <w:rPr>
          <w:lang w:val="en-US"/>
        </w:rPr>
        <w:t>wheat-derived glucose syrup</w:t>
      </w:r>
      <w:r>
        <w:rPr>
          <w:lang w:val="en-US"/>
        </w:rPr>
        <w:t>s</w:t>
      </w:r>
      <w:r w:rsidRPr="003532D2">
        <w:rPr>
          <w:lang w:val="en-US"/>
        </w:rPr>
        <w:t xml:space="preserve"> </w:t>
      </w:r>
      <w:r>
        <w:rPr>
          <w:lang w:val="en-US"/>
        </w:rPr>
        <w:t>that have been purified and contain 10-</w:t>
      </w:r>
      <w:r w:rsidRPr="003532D2">
        <w:rPr>
          <w:lang w:val="en-US"/>
        </w:rPr>
        <w:t xml:space="preserve">20 mg gluten/kg glucose </w:t>
      </w:r>
      <w:r>
        <w:rPr>
          <w:lang w:val="en-US"/>
        </w:rPr>
        <w:t>are</w:t>
      </w:r>
      <w:r w:rsidRPr="00C01858">
        <w:rPr>
          <w:lang w:val="en-US"/>
        </w:rPr>
        <w:t xml:space="preserve"> likely to present a negligible risk to the majority of wheat allergic individuals</w:t>
      </w:r>
      <w:r>
        <w:rPr>
          <w:lang w:val="en-US"/>
        </w:rPr>
        <w:t xml:space="preserve"> (FSANZ 2016)</w:t>
      </w:r>
      <w:r w:rsidRPr="00C01858">
        <w:rPr>
          <w:lang w:val="en-US"/>
        </w:rPr>
        <w:t>.</w:t>
      </w:r>
      <w:r>
        <w:rPr>
          <w:lang w:val="en-US"/>
        </w:rPr>
        <w:t xml:space="preserve"> </w:t>
      </w:r>
    </w:p>
    <w:p w14:paraId="294B2110" w14:textId="77777777" w:rsidR="00FE7B6D" w:rsidRDefault="00FE7B6D" w:rsidP="00FE7B6D">
      <w:pPr>
        <w:rPr>
          <w:lang w:val="en-US"/>
        </w:rPr>
      </w:pPr>
    </w:p>
    <w:p w14:paraId="42403742" w14:textId="5A8C4637" w:rsidR="00FE7B6D" w:rsidRDefault="00FE7B6D" w:rsidP="00FE7B6D">
      <w:pPr>
        <w:rPr>
          <w:lang w:val="en-US"/>
        </w:rPr>
      </w:pPr>
      <w:r>
        <w:rPr>
          <w:lang w:val="en-US"/>
        </w:rPr>
        <w:t xml:space="preserve">The applicant has provided a data sheet for their enzyme preparation which indicates that the major allergens (those requiring declaration </w:t>
      </w:r>
      <w:r w:rsidR="00740703">
        <w:rPr>
          <w:lang w:val="en-US"/>
        </w:rPr>
        <w:t>under</w:t>
      </w:r>
      <w:r>
        <w:rPr>
          <w:lang w:val="en-US"/>
        </w:rPr>
        <w:t xml:space="preserve"> Standard 1.2.3 of the Code, including wheat) are not present in the enzyme preparation. </w:t>
      </w:r>
    </w:p>
    <w:p w14:paraId="3494ADA7" w14:textId="77777777" w:rsidR="00FE7B6D" w:rsidRDefault="00FE7B6D" w:rsidP="000A4A62">
      <w:pPr>
        <w:pStyle w:val="Heading3"/>
        <w:rPr>
          <w:lang w:val="en-US"/>
        </w:rPr>
      </w:pPr>
      <w:r>
        <w:rPr>
          <w:lang w:val="en-US"/>
        </w:rPr>
        <w:lastRenderedPageBreak/>
        <w:t>2.2.3</w:t>
      </w:r>
      <w:r>
        <w:rPr>
          <w:lang w:val="en-US"/>
        </w:rPr>
        <w:tab/>
        <w:t xml:space="preserve">Specifications </w:t>
      </w:r>
    </w:p>
    <w:p w14:paraId="46D6AEDE" w14:textId="333A1BFE" w:rsidR="00FE7B6D" w:rsidRDefault="00FE7B6D" w:rsidP="00FE7B6D">
      <w:pPr>
        <w:rPr>
          <w:szCs w:val="22"/>
        </w:rPr>
      </w:pPr>
      <w:r w:rsidRPr="005B59CE">
        <w:rPr>
          <w:szCs w:val="22"/>
        </w:rPr>
        <w:t xml:space="preserve">There are international specifications for enzyme preparations used in the production of food. These have been established by the Joint FAO/WHO Expert Committee on Food Additives (JECFA) in its Compendium of Food Additive Specifications and in the Food Chemicals Codex (FCC). These specifications are included in </w:t>
      </w:r>
      <w:r>
        <w:rPr>
          <w:szCs w:val="22"/>
        </w:rPr>
        <w:t xml:space="preserve">the primary sources listed in section </w:t>
      </w:r>
      <w:r w:rsidRPr="005B59CE">
        <w:rPr>
          <w:szCs w:val="22"/>
        </w:rPr>
        <w:t xml:space="preserve">S3—2 of </w:t>
      </w:r>
      <w:r>
        <w:rPr>
          <w:szCs w:val="22"/>
        </w:rPr>
        <w:t xml:space="preserve">Schedule 3 of </w:t>
      </w:r>
      <w:r w:rsidRPr="005B59CE">
        <w:rPr>
          <w:szCs w:val="22"/>
        </w:rPr>
        <w:t xml:space="preserve">the Code and enzymes used as a processing aid must meet </w:t>
      </w:r>
      <w:r w:rsidR="00C31744">
        <w:rPr>
          <w:szCs w:val="22"/>
        </w:rPr>
        <w:t xml:space="preserve">either of </w:t>
      </w:r>
      <w:r w:rsidRPr="005B59CE">
        <w:rPr>
          <w:szCs w:val="22"/>
        </w:rPr>
        <w:t xml:space="preserve">these specifications. </w:t>
      </w:r>
    </w:p>
    <w:p w14:paraId="34FF5444" w14:textId="77777777" w:rsidR="00FE7B6D" w:rsidRDefault="00FE7B6D" w:rsidP="00FE7B6D">
      <w:pPr>
        <w:rPr>
          <w:szCs w:val="22"/>
        </w:rPr>
      </w:pPr>
    </w:p>
    <w:p w14:paraId="42507178" w14:textId="4A7B23F1" w:rsidR="00FE7B6D" w:rsidRPr="005B59CE" w:rsidRDefault="008E74B6" w:rsidP="00FE7B6D">
      <w:pPr>
        <w:rPr>
          <w:szCs w:val="22"/>
        </w:rPr>
      </w:pPr>
      <w:r>
        <w:rPr>
          <w:szCs w:val="22"/>
        </w:rPr>
        <w:t xml:space="preserve">With respect to those specifications, </w:t>
      </w:r>
      <w:r w:rsidR="00FE7B6D">
        <w:rPr>
          <w:szCs w:val="22"/>
        </w:rPr>
        <w:t xml:space="preserve">Novozymes states that their subtilisin enzyme </w:t>
      </w:r>
      <w:r w:rsidR="00C31744">
        <w:rPr>
          <w:szCs w:val="22"/>
        </w:rPr>
        <w:t>preparation</w:t>
      </w:r>
      <w:r w:rsidR="00FE7B6D">
        <w:rPr>
          <w:szCs w:val="22"/>
        </w:rPr>
        <w:t xml:space="preserve"> complies with the purity criteria </w:t>
      </w:r>
      <w:r w:rsidR="00C31744">
        <w:rPr>
          <w:szCs w:val="22"/>
        </w:rPr>
        <w:t>for Enzyme Preparations in Food</w:t>
      </w:r>
      <w:r w:rsidR="00FE7B6D">
        <w:rPr>
          <w:szCs w:val="22"/>
        </w:rPr>
        <w:t xml:space="preserve"> in Food Chemicals Codex </w:t>
      </w:r>
      <w:r w:rsidR="009C0ACF">
        <w:rPr>
          <w:szCs w:val="22"/>
        </w:rPr>
        <w:t>(FCC 20</w:t>
      </w:r>
      <w:r w:rsidR="00715CF9">
        <w:rPr>
          <w:szCs w:val="22"/>
        </w:rPr>
        <w:t>1</w:t>
      </w:r>
      <w:r w:rsidR="009C0ACF">
        <w:rPr>
          <w:szCs w:val="22"/>
        </w:rPr>
        <w:t xml:space="preserve">8) </w:t>
      </w:r>
      <w:r w:rsidR="00FE7B6D">
        <w:rPr>
          <w:szCs w:val="22"/>
        </w:rPr>
        <w:t>and conforms to the JECFA specification for enzyme preparations</w:t>
      </w:r>
      <w:r>
        <w:rPr>
          <w:szCs w:val="22"/>
        </w:rPr>
        <w:t xml:space="preserve"> (JECFA 2006)</w:t>
      </w:r>
      <w:r w:rsidR="00FE7B6D">
        <w:rPr>
          <w:szCs w:val="22"/>
        </w:rPr>
        <w:t xml:space="preserve">. </w:t>
      </w:r>
      <w:r w:rsidR="00C31744">
        <w:rPr>
          <w:szCs w:val="22"/>
        </w:rPr>
        <w:t xml:space="preserve"> </w:t>
      </w:r>
    </w:p>
    <w:p w14:paraId="231DEE59" w14:textId="77777777" w:rsidR="00FE7B6D" w:rsidRPr="005B59CE" w:rsidRDefault="00FE7B6D" w:rsidP="00FE7B6D"/>
    <w:p w14:paraId="0644BD0F" w14:textId="1492B3F3" w:rsidR="001F0422" w:rsidRDefault="001F0422" w:rsidP="00FE7B6D">
      <w:r w:rsidRPr="001F0422">
        <w:t>Schedule 3 also includes specifications for heavy metals (section S3—4) if they are not already detailed within specifications in sections S3—2 or S3—3.</w:t>
      </w:r>
    </w:p>
    <w:p w14:paraId="75832C03" w14:textId="77777777" w:rsidR="001F0422" w:rsidRPr="005B59CE" w:rsidRDefault="001F0422" w:rsidP="00FE7B6D"/>
    <w:p w14:paraId="4E4D996F" w14:textId="688CCA89" w:rsidR="00FE7B6D" w:rsidRPr="005B59CE" w:rsidRDefault="00FE7B6D" w:rsidP="00FE7B6D">
      <w:r w:rsidRPr="00B05CCA">
        <w:t xml:space="preserve">Table 1 </w:t>
      </w:r>
      <w:r w:rsidR="00A21F1F">
        <w:t xml:space="preserve">below </w:t>
      </w:r>
      <w:r w:rsidRPr="00B05CCA">
        <w:t xml:space="preserve">provides a comparison of a representative batch of the </w:t>
      </w:r>
      <w:r w:rsidRPr="00B05CCA">
        <w:rPr>
          <w:rFonts w:cs="Arial"/>
        </w:rPr>
        <w:t>subtilisin enzyme preparation</w:t>
      </w:r>
      <w:r w:rsidRPr="00B05CCA">
        <w:t xml:space="preserve"> </w:t>
      </w:r>
      <w:r w:rsidRPr="005B59CE">
        <w:t xml:space="preserve">with international specifications established by JECFA and Food Chemicals Codex, as well as those in the Code (as applicable). Based on these results, the enzyme preparation meets all relevant specifications for metals and the microbiological criteria. As noted above, </w:t>
      </w:r>
      <w:r w:rsidRPr="00622592">
        <w:t xml:space="preserve">Novozymes </w:t>
      </w:r>
      <w:r w:rsidRPr="005B59CE">
        <w:rPr>
          <w:szCs w:val="22"/>
        </w:rPr>
        <w:t xml:space="preserve">states that </w:t>
      </w:r>
      <w:r w:rsidRPr="00622592">
        <w:rPr>
          <w:szCs w:val="22"/>
        </w:rPr>
        <w:t xml:space="preserve">their enzyme product conforms to the </w:t>
      </w:r>
      <w:r w:rsidR="008E74B6" w:rsidRPr="008E74B6">
        <w:rPr>
          <w:szCs w:val="22"/>
        </w:rPr>
        <w:t>specifications for identity and purity set by FCC and JECFA</w:t>
      </w:r>
      <w:r w:rsidR="008E74B6">
        <w:rPr>
          <w:szCs w:val="22"/>
        </w:rPr>
        <w:t xml:space="preserve">. These are </w:t>
      </w:r>
      <w:r w:rsidRPr="005B59CE">
        <w:rPr>
          <w:szCs w:val="22"/>
        </w:rPr>
        <w:t>broader than the specifications for metals and microbiological limits</w:t>
      </w:r>
      <w:r>
        <w:rPr>
          <w:szCs w:val="22"/>
        </w:rPr>
        <w:t xml:space="preserve"> referred to here</w:t>
      </w:r>
      <w:r w:rsidRPr="005B59CE">
        <w:rPr>
          <w:szCs w:val="22"/>
        </w:rPr>
        <w:t xml:space="preserve">. </w:t>
      </w:r>
    </w:p>
    <w:p w14:paraId="12040DA5" w14:textId="77777777" w:rsidR="00FE7B6D" w:rsidRPr="00622592" w:rsidRDefault="00FE7B6D" w:rsidP="00FE7B6D"/>
    <w:p w14:paraId="408C3002" w14:textId="52847B79" w:rsidR="00FE7B6D" w:rsidRPr="005B59CE" w:rsidRDefault="00FE7B6D" w:rsidP="00FE7B6D">
      <w:pPr>
        <w:keepNext/>
        <w:keepLines/>
        <w:spacing w:after="240"/>
        <w:ind w:left="1134" w:hanging="1134"/>
        <w:rPr>
          <w:rFonts w:cs="Arial"/>
          <w:i/>
          <w:sz w:val="24"/>
        </w:rPr>
      </w:pPr>
      <w:r w:rsidRPr="00B05CCA">
        <w:rPr>
          <w:rFonts w:cs="Arial"/>
          <w:b/>
          <w:i/>
        </w:rPr>
        <w:t>Table 1</w:t>
      </w:r>
      <w:r w:rsidRPr="00B05CCA">
        <w:rPr>
          <w:rFonts w:cs="Arial"/>
          <w:b/>
          <w:i/>
          <w:szCs w:val="20"/>
        </w:rPr>
        <w:tab/>
      </w:r>
      <w:r w:rsidRPr="00B05CCA">
        <w:rPr>
          <w:rFonts w:cs="Arial"/>
          <w:i/>
        </w:rPr>
        <w:t>Comparison of Novoymes’ subtilisin compared to JECFA, Food Chemicals</w:t>
      </w:r>
      <w:r w:rsidRPr="005B59CE">
        <w:rPr>
          <w:rFonts w:cs="Arial"/>
          <w:i/>
        </w:rPr>
        <w:t xml:space="preserve"> Codex, and Code specifications for enzymes </w:t>
      </w:r>
    </w:p>
    <w:tbl>
      <w:tblPr>
        <w:tblStyle w:val="TableClassic42"/>
        <w:tblW w:w="9072" w:type="dxa"/>
        <w:tblBorders>
          <w:top w:val="none" w:sz="0" w:space="0" w:color="auto"/>
          <w:left w:val="none" w:sz="0" w:space="0" w:color="auto"/>
          <w:bottom w:val="single" w:sz="6" w:space="0" w:color="ECECEC"/>
          <w:right w:val="none" w:sz="0" w:space="0" w:color="auto"/>
        </w:tblBorders>
        <w:tblLayout w:type="fixed"/>
        <w:tblLook w:val="04A0" w:firstRow="1" w:lastRow="0" w:firstColumn="1" w:lastColumn="0" w:noHBand="0" w:noVBand="1"/>
        <w:tblDescription w:val="Analyses compared to specifications for heavy metals and microbial contaminants"/>
      </w:tblPr>
      <w:tblGrid>
        <w:gridCol w:w="2367"/>
        <w:gridCol w:w="1632"/>
        <w:gridCol w:w="1671"/>
        <w:gridCol w:w="1594"/>
        <w:gridCol w:w="1808"/>
      </w:tblGrid>
      <w:tr w:rsidR="00FE7B6D" w:rsidRPr="00B12243" w14:paraId="062D8E2B" w14:textId="77777777" w:rsidTr="007A3F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val="restart"/>
            <w:shd w:val="clear" w:color="99CCFF" w:fill="616571"/>
            <w:vAlign w:val="center"/>
          </w:tcPr>
          <w:p w14:paraId="5D1A97FD" w14:textId="77777777" w:rsidR="00FE7B6D" w:rsidRPr="00B12243" w:rsidRDefault="00FE7B6D" w:rsidP="007A3F72">
            <w:pPr>
              <w:keepNext/>
              <w:keepLines/>
              <w:spacing w:before="60" w:after="60"/>
              <w:jc w:val="center"/>
              <w:rPr>
                <w:rFonts w:cs="Arial"/>
                <w:color w:val="FFFFFF" w:themeColor="background1"/>
                <w:sz w:val="20"/>
                <w:szCs w:val="20"/>
              </w:rPr>
            </w:pPr>
          </w:p>
          <w:p w14:paraId="6045A7E4" w14:textId="77777777" w:rsidR="00FE7B6D" w:rsidRPr="00B12243" w:rsidRDefault="00FE7B6D" w:rsidP="007A3F72">
            <w:pPr>
              <w:keepNext/>
              <w:keepLines/>
              <w:spacing w:before="60" w:after="60"/>
              <w:jc w:val="center"/>
              <w:rPr>
                <w:rFonts w:cs="Arial"/>
                <w:i w:val="0"/>
                <w:color w:val="FFFFFF" w:themeColor="background1"/>
                <w:sz w:val="20"/>
                <w:szCs w:val="20"/>
              </w:rPr>
            </w:pPr>
            <w:r w:rsidRPr="00B12243">
              <w:rPr>
                <w:rFonts w:cs="Arial"/>
                <w:i w:val="0"/>
                <w:color w:val="FFFFFF" w:themeColor="background1"/>
                <w:sz w:val="20"/>
                <w:szCs w:val="20"/>
              </w:rPr>
              <w:t xml:space="preserve">Analysis </w:t>
            </w:r>
          </w:p>
        </w:tc>
        <w:tc>
          <w:tcPr>
            <w:tcW w:w="1632" w:type="dxa"/>
            <w:vMerge w:val="restart"/>
            <w:shd w:val="clear" w:color="99CCFF" w:fill="616571"/>
            <w:vAlign w:val="center"/>
          </w:tcPr>
          <w:p w14:paraId="6B46ADA4" w14:textId="76710E50" w:rsidR="00FE7B6D" w:rsidRPr="00B12243" w:rsidRDefault="00FE7B6D"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B12243">
              <w:rPr>
                <w:rFonts w:cs="Arial"/>
                <w:i w:val="0"/>
                <w:color w:val="FFFFFF" w:themeColor="background1"/>
                <w:sz w:val="20"/>
                <w:szCs w:val="20"/>
              </w:rPr>
              <w:t>Novozymes</w:t>
            </w:r>
            <w:r>
              <w:rPr>
                <w:rFonts w:cs="Arial"/>
                <w:i w:val="0"/>
                <w:color w:val="FFFFFF" w:themeColor="background1"/>
                <w:sz w:val="20"/>
                <w:szCs w:val="20"/>
              </w:rPr>
              <w:t>’</w:t>
            </w:r>
            <w:r w:rsidRPr="00B12243">
              <w:rPr>
                <w:rFonts w:cs="Arial"/>
                <w:i w:val="0"/>
                <w:color w:val="FFFFFF" w:themeColor="background1"/>
                <w:sz w:val="20"/>
                <w:szCs w:val="20"/>
              </w:rPr>
              <w:t xml:space="preserve"> analysis</w:t>
            </w:r>
            <w:r w:rsidR="001F0422">
              <w:rPr>
                <w:rFonts w:cs="Arial"/>
                <w:i w:val="0"/>
                <w:color w:val="FFFFFF" w:themeColor="background1"/>
                <w:sz w:val="20"/>
                <w:szCs w:val="20"/>
              </w:rPr>
              <w:t>*</w:t>
            </w:r>
          </w:p>
        </w:tc>
        <w:tc>
          <w:tcPr>
            <w:tcW w:w="5073" w:type="dxa"/>
            <w:gridSpan w:val="3"/>
            <w:shd w:val="clear" w:color="99CCFF" w:fill="616571"/>
          </w:tcPr>
          <w:p w14:paraId="1180684A" w14:textId="77777777" w:rsidR="00FE7B6D" w:rsidRPr="00B12243" w:rsidRDefault="00FE7B6D"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i w:val="0"/>
                <w:color w:val="FFFFFF" w:themeColor="background1"/>
                <w:sz w:val="20"/>
                <w:szCs w:val="20"/>
              </w:rPr>
            </w:pPr>
            <w:r w:rsidRPr="00B12243">
              <w:rPr>
                <w:rFonts w:cs="Arial"/>
                <w:i w:val="0"/>
                <w:color w:val="FFFFFF" w:themeColor="background1"/>
                <w:sz w:val="20"/>
                <w:szCs w:val="20"/>
              </w:rPr>
              <w:t>Specifications</w:t>
            </w:r>
          </w:p>
        </w:tc>
      </w:tr>
      <w:tr w:rsidR="00FE7B6D" w:rsidRPr="00B12243" w14:paraId="6A69BF42" w14:textId="77777777" w:rsidTr="007A3F7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367" w:type="dxa"/>
            <w:vMerge/>
            <w:shd w:val="clear" w:color="99CCFF" w:fill="616571"/>
          </w:tcPr>
          <w:p w14:paraId="1CB3AC57" w14:textId="77777777" w:rsidR="00FE7B6D" w:rsidRPr="00B12243" w:rsidRDefault="00FE7B6D" w:rsidP="007A3F72">
            <w:pPr>
              <w:keepNext/>
              <w:keepLines/>
              <w:spacing w:before="60" w:after="60"/>
              <w:rPr>
                <w:rFonts w:cs="Arial"/>
                <w:color w:val="FFFFFF" w:themeColor="background1"/>
                <w:sz w:val="20"/>
                <w:szCs w:val="20"/>
              </w:rPr>
            </w:pPr>
          </w:p>
        </w:tc>
        <w:tc>
          <w:tcPr>
            <w:tcW w:w="1632" w:type="dxa"/>
            <w:vMerge/>
            <w:shd w:val="clear" w:color="99CCFF" w:fill="616571"/>
          </w:tcPr>
          <w:p w14:paraId="33E7393B" w14:textId="77777777" w:rsidR="00FE7B6D" w:rsidRPr="00B12243" w:rsidRDefault="00FE7B6D"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p>
        </w:tc>
        <w:tc>
          <w:tcPr>
            <w:tcW w:w="1671" w:type="dxa"/>
            <w:shd w:val="clear" w:color="99CCFF" w:fill="616571"/>
            <w:vAlign w:val="center"/>
          </w:tcPr>
          <w:p w14:paraId="735C26BF" w14:textId="77777777" w:rsidR="00FE7B6D" w:rsidRDefault="00FE7B6D"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B12243">
              <w:rPr>
                <w:rFonts w:cs="Arial"/>
                <w:color w:val="FFFFFF" w:themeColor="background1"/>
                <w:sz w:val="20"/>
                <w:szCs w:val="20"/>
              </w:rPr>
              <w:t>JECFA</w:t>
            </w:r>
          </w:p>
          <w:p w14:paraId="488B6C0B" w14:textId="37B26680" w:rsidR="006E0C23" w:rsidRPr="00B12243" w:rsidRDefault="006E0C23"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(2006)</w:t>
            </w:r>
          </w:p>
        </w:tc>
        <w:tc>
          <w:tcPr>
            <w:tcW w:w="1594" w:type="dxa"/>
            <w:shd w:val="clear" w:color="99CCFF" w:fill="616571"/>
            <w:vAlign w:val="center"/>
          </w:tcPr>
          <w:p w14:paraId="3D095331" w14:textId="77777777" w:rsidR="00FE7B6D" w:rsidRDefault="00FE7B6D"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B12243">
              <w:rPr>
                <w:rFonts w:cs="Arial"/>
                <w:color w:val="FFFFFF" w:themeColor="background1"/>
                <w:sz w:val="20"/>
                <w:szCs w:val="20"/>
              </w:rPr>
              <w:t>Food Chemicals Codex</w:t>
            </w:r>
          </w:p>
          <w:p w14:paraId="27BCB325" w14:textId="6C7706ED" w:rsidR="00715CF9" w:rsidRPr="00B12243" w:rsidRDefault="00715CF9"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Pr>
                <w:rFonts w:cs="Arial"/>
                <w:color w:val="FFFFFF" w:themeColor="background1"/>
                <w:sz w:val="20"/>
                <w:szCs w:val="20"/>
              </w:rPr>
              <w:t>(FCC, 2018)</w:t>
            </w:r>
          </w:p>
        </w:tc>
        <w:tc>
          <w:tcPr>
            <w:tcW w:w="1808" w:type="dxa"/>
            <w:shd w:val="clear" w:color="99CCFF" w:fill="616571"/>
            <w:vAlign w:val="center"/>
          </w:tcPr>
          <w:p w14:paraId="0D31616B" w14:textId="77777777" w:rsidR="00FE7B6D" w:rsidRPr="00B12243" w:rsidRDefault="00FE7B6D"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B12243">
              <w:rPr>
                <w:rFonts w:cs="Arial"/>
                <w:color w:val="FFFFFF" w:themeColor="background1"/>
                <w:sz w:val="20"/>
                <w:szCs w:val="20"/>
              </w:rPr>
              <w:t>Australia New Zealand Food Standards Code</w:t>
            </w:r>
          </w:p>
          <w:p w14:paraId="3A730A95" w14:textId="77777777" w:rsidR="00FE7B6D" w:rsidRPr="00B12243" w:rsidRDefault="00FE7B6D" w:rsidP="007A3F72">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themeColor="background1"/>
                <w:sz w:val="20"/>
                <w:szCs w:val="20"/>
              </w:rPr>
            </w:pPr>
            <w:r w:rsidRPr="00B12243">
              <w:rPr>
                <w:rFonts w:cs="Arial"/>
                <w:color w:val="FFFFFF" w:themeColor="background1"/>
                <w:sz w:val="20"/>
                <w:szCs w:val="20"/>
              </w:rPr>
              <w:t>(section S3—4)</w:t>
            </w:r>
          </w:p>
        </w:tc>
      </w:tr>
      <w:tr w:rsidR="00FE7B6D" w:rsidRPr="00B12243" w14:paraId="72C57F50" w14:textId="77777777" w:rsidTr="007A3F72">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75DB2B9A" w14:textId="77777777" w:rsidR="00FE7B6D" w:rsidRPr="00B12243" w:rsidRDefault="00FE7B6D" w:rsidP="007A3F72">
            <w:pPr>
              <w:spacing w:before="60" w:after="60"/>
              <w:rPr>
                <w:sz w:val="20"/>
                <w:szCs w:val="20"/>
              </w:rPr>
            </w:pPr>
            <w:r w:rsidRPr="00B12243">
              <w:rPr>
                <w:sz w:val="20"/>
                <w:szCs w:val="20"/>
              </w:rPr>
              <w:t>Lead (mg/kg)</w:t>
            </w:r>
          </w:p>
        </w:tc>
        <w:tc>
          <w:tcPr>
            <w:tcW w:w="1632" w:type="dxa"/>
            <w:shd w:val="clear" w:color="auto" w:fill="ECECEC"/>
          </w:tcPr>
          <w:p w14:paraId="7424B0F9"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Not detected </w:t>
            </w:r>
          </w:p>
        </w:tc>
        <w:tc>
          <w:tcPr>
            <w:tcW w:w="1671" w:type="dxa"/>
            <w:shd w:val="clear" w:color="auto" w:fill="ECECEC"/>
          </w:tcPr>
          <w:p w14:paraId="3EA62E61"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 5</w:t>
            </w:r>
          </w:p>
        </w:tc>
        <w:tc>
          <w:tcPr>
            <w:tcW w:w="1594" w:type="dxa"/>
            <w:shd w:val="clear" w:color="auto" w:fill="ECECEC"/>
          </w:tcPr>
          <w:p w14:paraId="084E04B3"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 5</w:t>
            </w:r>
          </w:p>
        </w:tc>
        <w:tc>
          <w:tcPr>
            <w:tcW w:w="1808" w:type="dxa"/>
            <w:shd w:val="clear" w:color="auto" w:fill="ECECEC"/>
          </w:tcPr>
          <w:p w14:paraId="3417091D"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≤2</w:t>
            </w:r>
          </w:p>
        </w:tc>
      </w:tr>
      <w:tr w:rsidR="00FE7B6D" w:rsidRPr="00B12243" w14:paraId="4D9140FE" w14:textId="77777777" w:rsidTr="007A3F72">
        <w:tc>
          <w:tcPr>
            <w:cnfStyle w:val="001000000000" w:firstRow="0" w:lastRow="0" w:firstColumn="1" w:lastColumn="0" w:oddVBand="0" w:evenVBand="0" w:oddHBand="0" w:evenHBand="0" w:firstRowFirstColumn="0" w:firstRowLastColumn="0" w:lastRowFirstColumn="0" w:lastRowLastColumn="0"/>
            <w:tcW w:w="2367" w:type="dxa"/>
          </w:tcPr>
          <w:p w14:paraId="1DB221D7" w14:textId="77777777" w:rsidR="00FE7B6D" w:rsidRPr="00B12243" w:rsidRDefault="00FE7B6D" w:rsidP="007A3F72">
            <w:pPr>
              <w:spacing w:before="60" w:after="60"/>
              <w:rPr>
                <w:i/>
                <w:sz w:val="20"/>
                <w:szCs w:val="20"/>
              </w:rPr>
            </w:pPr>
            <w:r w:rsidRPr="00B12243">
              <w:rPr>
                <w:sz w:val="20"/>
                <w:szCs w:val="20"/>
              </w:rPr>
              <w:t>Arsenic (mg/kg)</w:t>
            </w:r>
          </w:p>
        </w:tc>
        <w:tc>
          <w:tcPr>
            <w:tcW w:w="1632" w:type="dxa"/>
          </w:tcPr>
          <w:p w14:paraId="55C8FFA8"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Not detected </w:t>
            </w:r>
          </w:p>
        </w:tc>
        <w:tc>
          <w:tcPr>
            <w:tcW w:w="1671" w:type="dxa"/>
          </w:tcPr>
          <w:p w14:paraId="1B04C5F9"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c>
          <w:tcPr>
            <w:tcW w:w="1594" w:type="dxa"/>
          </w:tcPr>
          <w:p w14:paraId="212B9130"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c>
          <w:tcPr>
            <w:tcW w:w="1808" w:type="dxa"/>
          </w:tcPr>
          <w:p w14:paraId="1F6DACF7"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≤1</w:t>
            </w:r>
          </w:p>
        </w:tc>
      </w:tr>
      <w:tr w:rsidR="00FE7B6D" w:rsidRPr="00B12243" w14:paraId="060F34D8" w14:textId="77777777" w:rsidTr="007A3F72">
        <w:tc>
          <w:tcPr>
            <w:cnfStyle w:val="001000000000" w:firstRow="0" w:lastRow="0" w:firstColumn="1" w:lastColumn="0" w:oddVBand="0" w:evenVBand="0" w:oddHBand="0" w:evenHBand="0" w:firstRowFirstColumn="0" w:firstRowLastColumn="0" w:lastRowFirstColumn="0" w:lastRowLastColumn="0"/>
            <w:tcW w:w="2367" w:type="dxa"/>
            <w:tcBorders>
              <w:bottom w:val="nil"/>
            </w:tcBorders>
            <w:shd w:val="clear" w:color="auto" w:fill="ECECEC"/>
          </w:tcPr>
          <w:p w14:paraId="58773221" w14:textId="77777777" w:rsidR="00FE7B6D" w:rsidRPr="00B12243" w:rsidRDefault="00FE7B6D" w:rsidP="007A3F72">
            <w:pPr>
              <w:spacing w:before="60" w:after="60"/>
              <w:rPr>
                <w:sz w:val="20"/>
                <w:szCs w:val="20"/>
              </w:rPr>
            </w:pPr>
            <w:r w:rsidRPr="00B12243">
              <w:rPr>
                <w:sz w:val="20"/>
                <w:szCs w:val="20"/>
              </w:rPr>
              <w:t>Cadmium (mg/kg)</w:t>
            </w:r>
          </w:p>
        </w:tc>
        <w:tc>
          <w:tcPr>
            <w:tcW w:w="1632" w:type="dxa"/>
            <w:tcBorders>
              <w:bottom w:val="nil"/>
            </w:tcBorders>
            <w:shd w:val="clear" w:color="auto" w:fill="ECECEC"/>
          </w:tcPr>
          <w:p w14:paraId="6FCAFE5E"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Not detected </w:t>
            </w:r>
          </w:p>
        </w:tc>
        <w:tc>
          <w:tcPr>
            <w:tcW w:w="1671" w:type="dxa"/>
            <w:tcBorders>
              <w:bottom w:val="nil"/>
            </w:tcBorders>
            <w:shd w:val="clear" w:color="auto" w:fill="ECECEC"/>
          </w:tcPr>
          <w:p w14:paraId="598D48F1"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c>
          <w:tcPr>
            <w:tcW w:w="1594" w:type="dxa"/>
            <w:tcBorders>
              <w:bottom w:val="nil"/>
            </w:tcBorders>
            <w:shd w:val="clear" w:color="auto" w:fill="ECECEC"/>
          </w:tcPr>
          <w:p w14:paraId="1C343BDD"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c>
          <w:tcPr>
            <w:tcW w:w="1808" w:type="dxa"/>
            <w:tcBorders>
              <w:bottom w:val="nil"/>
            </w:tcBorders>
            <w:shd w:val="clear" w:color="auto" w:fill="ECECEC"/>
          </w:tcPr>
          <w:p w14:paraId="1AE95FDC"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≤1</w:t>
            </w:r>
          </w:p>
        </w:tc>
      </w:tr>
      <w:tr w:rsidR="00FE7B6D" w:rsidRPr="00B12243" w14:paraId="3187B138" w14:textId="77777777" w:rsidTr="007A3F72">
        <w:tc>
          <w:tcPr>
            <w:cnfStyle w:val="001000000000" w:firstRow="0" w:lastRow="0" w:firstColumn="1" w:lastColumn="0" w:oddVBand="0" w:evenVBand="0" w:oddHBand="0" w:evenHBand="0" w:firstRowFirstColumn="0" w:firstRowLastColumn="0" w:lastRowFirstColumn="0" w:lastRowLastColumn="0"/>
            <w:tcW w:w="2367" w:type="dxa"/>
            <w:tcBorders>
              <w:bottom w:val="single" w:sz="4" w:space="0" w:color="ECECEC"/>
            </w:tcBorders>
          </w:tcPr>
          <w:p w14:paraId="106B059C" w14:textId="77777777" w:rsidR="00FE7B6D" w:rsidRPr="00B12243" w:rsidRDefault="00FE7B6D" w:rsidP="007A3F72">
            <w:pPr>
              <w:spacing w:before="60" w:after="60"/>
              <w:rPr>
                <w:sz w:val="20"/>
                <w:szCs w:val="20"/>
              </w:rPr>
            </w:pPr>
            <w:r w:rsidRPr="00B12243">
              <w:rPr>
                <w:sz w:val="20"/>
                <w:szCs w:val="20"/>
              </w:rPr>
              <w:t>Mercury (mg/kg)</w:t>
            </w:r>
          </w:p>
        </w:tc>
        <w:tc>
          <w:tcPr>
            <w:tcW w:w="1632" w:type="dxa"/>
            <w:tcBorders>
              <w:bottom w:val="single" w:sz="4" w:space="0" w:color="ECECEC"/>
            </w:tcBorders>
          </w:tcPr>
          <w:p w14:paraId="74C2DB8E"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Not detected </w:t>
            </w:r>
          </w:p>
        </w:tc>
        <w:tc>
          <w:tcPr>
            <w:tcW w:w="1671" w:type="dxa"/>
            <w:tcBorders>
              <w:bottom w:val="single" w:sz="4" w:space="0" w:color="ECECEC"/>
            </w:tcBorders>
          </w:tcPr>
          <w:p w14:paraId="726DC507"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c>
          <w:tcPr>
            <w:tcW w:w="1594" w:type="dxa"/>
            <w:tcBorders>
              <w:bottom w:val="single" w:sz="4" w:space="0" w:color="ECECEC"/>
            </w:tcBorders>
          </w:tcPr>
          <w:p w14:paraId="782C93DA"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c>
          <w:tcPr>
            <w:tcW w:w="1808" w:type="dxa"/>
            <w:tcBorders>
              <w:bottom w:val="single" w:sz="4" w:space="0" w:color="ECECEC"/>
            </w:tcBorders>
          </w:tcPr>
          <w:p w14:paraId="61310B34"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≤1</w:t>
            </w:r>
          </w:p>
        </w:tc>
      </w:tr>
      <w:tr w:rsidR="00FE7B6D" w:rsidRPr="00B12243" w14:paraId="55D8114F" w14:textId="77777777" w:rsidTr="007A3F72">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shd w:val="clear" w:color="auto" w:fill="ECECEC"/>
          </w:tcPr>
          <w:p w14:paraId="3DA67754" w14:textId="77777777" w:rsidR="00FE7B6D" w:rsidRPr="00B12243" w:rsidRDefault="00FE7B6D" w:rsidP="007A3F72">
            <w:pPr>
              <w:spacing w:before="60" w:after="60"/>
              <w:rPr>
                <w:sz w:val="20"/>
                <w:szCs w:val="20"/>
              </w:rPr>
            </w:pPr>
            <w:r w:rsidRPr="00B12243">
              <w:rPr>
                <w:sz w:val="20"/>
                <w:szCs w:val="20"/>
              </w:rPr>
              <w:t>Coliforms (cfu/g)</w:t>
            </w:r>
          </w:p>
        </w:tc>
        <w:tc>
          <w:tcPr>
            <w:tcW w:w="1632" w:type="dxa"/>
            <w:tcBorders>
              <w:top w:val="nil"/>
              <w:bottom w:val="nil"/>
            </w:tcBorders>
            <w:shd w:val="clear" w:color="auto" w:fill="ECECEC"/>
          </w:tcPr>
          <w:p w14:paraId="363C9E05"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&lt;4</w:t>
            </w:r>
          </w:p>
        </w:tc>
        <w:tc>
          <w:tcPr>
            <w:tcW w:w="1671" w:type="dxa"/>
            <w:tcBorders>
              <w:top w:val="nil"/>
              <w:bottom w:val="nil"/>
            </w:tcBorders>
            <w:shd w:val="clear" w:color="auto" w:fill="ECECEC"/>
          </w:tcPr>
          <w:p w14:paraId="4E86EAC0"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 xml:space="preserve">≤30 </w:t>
            </w:r>
          </w:p>
        </w:tc>
        <w:tc>
          <w:tcPr>
            <w:tcW w:w="1594" w:type="dxa"/>
            <w:tcBorders>
              <w:top w:val="nil"/>
              <w:bottom w:val="nil"/>
            </w:tcBorders>
            <w:shd w:val="clear" w:color="auto" w:fill="ECECEC"/>
          </w:tcPr>
          <w:p w14:paraId="28E8A5C9"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≤30</w:t>
            </w:r>
          </w:p>
        </w:tc>
        <w:tc>
          <w:tcPr>
            <w:tcW w:w="1808" w:type="dxa"/>
            <w:tcBorders>
              <w:top w:val="nil"/>
              <w:bottom w:val="nil"/>
            </w:tcBorders>
            <w:shd w:val="clear" w:color="auto" w:fill="ECECEC"/>
          </w:tcPr>
          <w:p w14:paraId="002CE84A"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r>
      <w:tr w:rsidR="00FE7B6D" w:rsidRPr="00B12243" w14:paraId="342297EA" w14:textId="77777777" w:rsidTr="007A3F72">
        <w:tc>
          <w:tcPr>
            <w:cnfStyle w:val="001000000000" w:firstRow="0" w:lastRow="0" w:firstColumn="1" w:lastColumn="0" w:oddVBand="0" w:evenVBand="0" w:oddHBand="0" w:evenHBand="0" w:firstRowFirstColumn="0" w:firstRowLastColumn="0" w:lastRowFirstColumn="0" w:lastRowLastColumn="0"/>
            <w:tcW w:w="2367" w:type="dxa"/>
            <w:tcBorders>
              <w:top w:val="nil"/>
              <w:bottom w:val="nil"/>
            </w:tcBorders>
          </w:tcPr>
          <w:p w14:paraId="5D1CE6E7" w14:textId="77777777" w:rsidR="00FE7B6D" w:rsidRPr="00B12243" w:rsidRDefault="00FE7B6D" w:rsidP="007A3F72">
            <w:pPr>
              <w:spacing w:before="60" w:after="60"/>
              <w:rPr>
                <w:sz w:val="20"/>
                <w:szCs w:val="20"/>
              </w:rPr>
            </w:pPr>
            <w:r w:rsidRPr="00B12243">
              <w:rPr>
                <w:i/>
                <w:sz w:val="20"/>
                <w:szCs w:val="20"/>
              </w:rPr>
              <w:t>Salmonella</w:t>
            </w:r>
            <w:r w:rsidRPr="00B12243">
              <w:rPr>
                <w:sz w:val="20"/>
                <w:szCs w:val="20"/>
              </w:rPr>
              <w:t xml:space="preserve"> (in 25 g)</w:t>
            </w:r>
          </w:p>
        </w:tc>
        <w:tc>
          <w:tcPr>
            <w:tcW w:w="1632" w:type="dxa"/>
            <w:tcBorders>
              <w:top w:val="nil"/>
              <w:bottom w:val="nil"/>
            </w:tcBorders>
          </w:tcPr>
          <w:p w14:paraId="38D32707"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detected</w:t>
            </w:r>
          </w:p>
        </w:tc>
        <w:tc>
          <w:tcPr>
            <w:tcW w:w="1671" w:type="dxa"/>
            <w:tcBorders>
              <w:top w:val="nil"/>
              <w:bottom w:val="nil"/>
            </w:tcBorders>
          </w:tcPr>
          <w:p w14:paraId="178CFBBB"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Absent</w:t>
            </w:r>
          </w:p>
        </w:tc>
        <w:tc>
          <w:tcPr>
            <w:tcW w:w="1594" w:type="dxa"/>
            <w:tcBorders>
              <w:top w:val="nil"/>
              <w:bottom w:val="nil"/>
            </w:tcBorders>
          </w:tcPr>
          <w:p w14:paraId="16A1F3A7"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Negative</w:t>
            </w:r>
          </w:p>
        </w:tc>
        <w:tc>
          <w:tcPr>
            <w:tcW w:w="1808" w:type="dxa"/>
            <w:tcBorders>
              <w:top w:val="nil"/>
              <w:bottom w:val="nil"/>
            </w:tcBorders>
          </w:tcPr>
          <w:p w14:paraId="5E0D026A"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r>
      <w:tr w:rsidR="00FE7B6D" w:rsidRPr="00B12243" w14:paraId="0FE62C49" w14:textId="77777777" w:rsidTr="001F0422">
        <w:tc>
          <w:tcPr>
            <w:cnfStyle w:val="001000000000" w:firstRow="0" w:lastRow="0" w:firstColumn="1" w:lastColumn="0" w:oddVBand="0" w:evenVBand="0" w:oddHBand="0" w:evenHBand="0" w:firstRowFirstColumn="0" w:firstRowLastColumn="0" w:lastRowFirstColumn="0" w:lastRowLastColumn="0"/>
            <w:tcW w:w="2367" w:type="dxa"/>
            <w:shd w:val="clear" w:color="auto" w:fill="ECECEC"/>
          </w:tcPr>
          <w:p w14:paraId="2E2ACC11" w14:textId="77777777" w:rsidR="00FE7B6D" w:rsidRPr="00B12243" w:rsidRDefault="00FE7B6D" w:rsidP="007A3F72">
            <w:pPr>
              <w:spacing w:before="60" w:after="60"/>
              <w:rPr>
                <w:i/>
                <w:sz w:val="20"/>
                <w:szCs w:val="20"/>
              </w:rPr>
            </w:pPr>
            <w:r w:rsidRPr="00B12243">
              <w:rPr>
                <w:i/>
                <w:sz w:val="20"/>
                <w:szCs w:val="20"/>
              </w:rPr>
              <w:t xml:space="preserve">E. coli </w:t>
            </w:r>
            <w:r w:rsidRPr="00B12243">
              <w:rPr>
                <w:sz w:val="20"/>
                <w:szCs w:val="20"/>
              </w:rPr>
              <w:t>(in 25 g)</w:t>
            </w:r>
          </w:p>
        </w:tc>
        <w:tc>
          <w:tcPr>
            <w:tcW w:w="1632" w:type="dxa"/>
            <w:shd w:val="clear" w:color="auto" w:fill="ECECEC"/>
          </w:tcPr>
          <w:p w14:paraId="3AE37CC5"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Not detected</w:t>
            </w:r>
          </w:p>
        </w:tc>
        <w:tc>
          <w:tcPr>
            <w:tcW w:w="1671" w:type="dxa"/>
            <w:shd w:val="clear" w:color="auto" w:fill="ECECEC"/>
          </w:tcPr>
          <w:p w14:paraId="44366E2E"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 xml:space="preserve">Absent </w:t>
            </w:r>
          </w:p>
        </w:tc>
        <w:tc>
          <w:tcPr>
            <w:tcW w:w="1594" w:type="dxa"/>
            <w:shd w:val="clear" w:color="auto" w:fill="ECECEC"/>
          </w:tcPr>
          <w:p w14:paraId="772DA1AA"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c>
          <w:tcPr>
            <w:tcW w:w="1808" w:type="dxa"/>
            <w:shd w:val="clear" w:color="auto" w:fill="ECECEC"/>
          </w:tcPr>
          <w:p w14:paraId="2C9FF77C" w14:textId="77777777" w:rsidR="00FE7B6D" w:rsidRPr="00B12243" w:rsidRDefault="00FE7B6D" w:rsidP="007A3F72">
            <w:pPr>
              <w:spacing w:before="60" w:after="60"/>
              <w:jc w:val="center"/>
              <w:cnfStyle w:val="000000000000" w:firstRow="0" w:lastRow="0" w:firstColumn="0" w:lastColumn="0" w:oddVBand="0" w:evenVBand="0" w:oddHBand="0" w:evenHBand="0" w:firstRowFirstColumn="0" w:firstRowLastColumn="0" w:lastRowFirstColumn="0" w:lastRowLastColumn="0"/>
              <w:rPr>
                <w:sz w:val="20"/>
                <w:szCs w:val="20"/>
              </w:rPr>
            </w:pPr>
            <w:r w:rsidRPr="00B12243">
              <w:rPr>
                <w:sz w:val="20"/>
                <w:szCs w:val="20"/>
              </w:rPr>
              <w:t>-</w:t>
            </w:r>
          </w:p>
        </w:tc>
      </w:tr>
    </w:tbl>
    <w:p w14:paraId="7E989EA8" w14:textId="03A3EDF2" w:rsidR="001F0422" w:rsidRPr="001F0422" w:rsidRDefault="001F0422" w:rsidP="001F0422">
      <w:pPr>
        <w:rPr>
          <w:sz w:val="18"/>
          <w:szCs w:val="18"/>
          <w:lang w:bidi="ar-SA"/>
        </w:rPr>
      </w:pPr>
      <w:r>
        <w:rPr>
          <w:sz w:val="18"/>
          <w:szCs w:val="18"/>
          <w:lang w:bidi="ar-SA"/>
        </w:rPr>
        <w:t xml:space="preserve">*representative batch </w:t>
      </w:r>
    </w:p>
    <w:p w14:paraId="0C3DB700" w14:textId="77777777" w:rsidR="00FE7B6D" w:rsidRPr="00622592" w:rsidRDefault="00FE7B6D" w:rsidP="00FE7B6D">
      <w:pPr>
        <w:keepNext/>
        <w:numPr>
          <w:ilvl w:val="1"/>
          <w:numId w:val="4"/>
        </w:numPr>
        <w:spacing w:before="240" w:after="240"/>
        <w:outlineLvl w:val="1"/>
        <w:rPr>
          <w:rFonts w:cs="Arial"/>
          <w:b/>
          <w:bCs/>
          <w:sz w:val="28"/>
          <w:szCs w:val="22"/>
          <w:lang w:bidi="ar-SA"/>
        </w:rPr>
      </w:pPr>
      <w:bookmarkStart w:id="32" w:name="_Toc53649914"/>
      <w:bookmarkStart w:id="33" w:name="_Toc71123618"/>
      <w:r w:rsidRPr="00622592">
        <w:rPr>
          <w:rFonts w:cs="Arial"/>
          <w:b/>
          <w:bCs/>
          <w:sz w:val="28"/>
          <w:szCs w:val="22"/>
          <w:lang w:bidi="ar-SA"/>
        </w:rPr>
        <w:t>Food technology conclusion</w:t>
      </w:r>
      <w:bookmarkEnd w:id="32"/>
      <w:bookmarkEnd w:id="33"/>
      <w:r w:rsidRPr="00622592">
        <w:rPr>
          <w:rFonts w:cs="Arial"/>
          <w:b/>
          <w:bCs/>
          <w:sz w:val="28"/>
          <w:szCs w:val="22"/>
          <w:lang w:bidi="ar-SA"/>
        </w:rPr>
        <w:t xml:space="preserve"> </w:t>
      </w:r>
    </w:p>
    <w:p w14:paraId="36A2439B" w14:textId="23254EB8" w:rsidR="00FE7B6D" w:rsidRPr="008E40FA" w:rsidRDefault="00FE7B6D" w:rsidP="00997296">
      <w:r w:rsidRPr="00B05CCA">
        <w:t xml:space="preserve">FSANZ concludes that the </w:t>
      </w:r>
      <w:r>
        <w:t xml:space="preserve">proposed </w:t>
      </w:r>
      <w:r w:rsidRPr="00B05CCA">
        <w:t xml:space="preserve">use of this subtilisin </w:t>
      </w:r>
      <w:r>
        <w:t xml:space="preserve">as an enzyme </w:t>
      </w:r>
      <w:r w:rsidRPr="008E40FA">
        <w:t xml:space="preserve">processing aid in potable alcohol </w:t>
      </w:r>
      <w:r w:rsidRPr="00997296">
        <w:t>production</w:t>
      </w:r>
      <w:r w:rsidR="00997296" w:rsidRPr="00997296">
        <w:t>,</w:t>
      </w:r>
      <w:r w:rsidRPr="00997296">
        <w:t xml:space="preserve"> </w:t>
      </w:r>
      <w:r w:rsidR="00997296" w:rsidRPr="00997296">
        <w:t xml:space="preserve">in the quantity and form proposed to be used (which must be consistent with GMP controls and processes), </w:t>
      </w:r>
      <w:r w:rsidRPr="00997296">
        <w:t xml:space="preserve">is </w:t>
      </w:r>
      <w:r w:rsidR="00974285">
        <w:t xml:space="preserve">to achieve a technological function </w:t>
      </w:r>
      <w:r w:rsidRPr="00997296">
        <w:t xml:space="preserve">consistent </w:t>
      </w:r>
      <w:r w:rsidRPr="008E40FA">
        <w:t xml:space="preserve">with its typical </w:t>
      </w:r>
      <w:r w:rsidR="00974285">
        <w:t>effect</w:t>
      </w:r>
      <w:r w:rsidRPr="008E40FA">
        <w:t xml:space="preserve"> of hydrolysing proteins. Subtilisin hydrolyses proteins </w:t>
      </w:r>
      <w:r w:rsidRPr="008E40FA">
        <w:rPr>
          <w:lang w:eastAsia="en-AU" w:bidi="ar-SA"/>
        </w:rPr>
        <w:t>into peptides and amino acids which lowers the viscosity of the fermentation solution and provides nutrients for yeast for faster and more complete fermentation</w:t>
      </w:r>
      <w:r w:rsidR="00997296">
        <w:rPr>
          <w:lang w:eastAsia="en-AU" w:bidi="ar-SA"/>
        </w:rPr>
        <w:t xml:space="preserve"> compared to other options for fermentation. </w:t>
      </w:r>
      <w:r w:rsidRPr="008E40FA">
        <w:t xml:space="preserve">  </w:t>
      </w:r>
    </w:p>
    <w:p w14:paraId="7E06E044" w14:textId="77777777" w:rsidR="00FE7B6D" w:rsidRDefault="00FE7B6D" w:rsidP="00FE7B6D"/>
    <w:p w14:paraId="68694B3C" w14:textId="63456FC0" w:rsidR="00840DB4" w:rsidRPr="00840DB4" w:rsidRDefault="00840DB4" w:rsidP="00475A54">
      <w:r w:rsidRPr="00840DB4">
        <w:lastRenderedPageBreak/>
        <w:t xml:space="preserve">Approval of subtilisin with </w:t>
      </w:r>
      <w:r w:rsidRPr="00840DB4">
        <w:rPr>
          <w:i/>
        </w:rPr>
        <w:t>B. licheniformis</w:t>
      </w:r>
      <w:r w:rsidRPr="00840DB4">
        <w:t xml:space="preserve"> as the source and containing the gene for subtilisin from </w:t>
      </w:r>
      <w:r w:rsidRPr="00840DB4">
        <w:rPr>
          <w:i/>
        </w:rPr>
        <w:t>P</w:t>
      </w:r>
      <w:r w:rsidR="005A45FC">
        <w:rPr>
          <w:i/>
        </w:rPr>
        <w:t>.</w:t>
      </w:r>
      <w:r w:rsidRPr="00840DB4">
        <w:rPr>
          <w:i/>
        </w:rPr>
        <w:t xml:space="preserve"> furiosus</w:t>
      </w:r>
      <w:r w:rsidRPr="00840DB4">
        <w:t xml:space="preserve"> would provide manufacturers of potable alcohol with an alternative source of </w:t>
      </w:r>
      <w:r w:rsidR="005A45FC" w:rsidRPr="00840DB4">
        <w:t>subtilisin</w:t>
      </w:r>
      <w:r w:rsidRPr="00840DB4">
        <w:t xml:space="preserve">. </w:t>
      </w:r>
    </w:p>
    <w:p w14:paraId="49E167ED" w14:textId="77777777" w:rsidR="00840DB4" w:rsidRPr="00840DB4" w:rsidRDefault="00840DB4" w:rsidP="00475A54"/>
    <w:p w14:paraId="56179177" w14:textId="388DFD07" w:rsidR="00475A54" w:rsidRPr="00B05CCA" w:rsidRDefault="00475A54" w:rsidP="00475A54">
      <w:r w:rsidRPr="00B05CCA">
        <w:t>The</w:t>
      </w:r>
      <w:r w:rsidR="00C62C5B">
        <w:t xml:space="preserve">re are </w:t>
      </w:r>
      <w:r w:rsidR="00840DB4">
        <w:t>relevant</w:t>
      </w:r>
      <w:r w:rsidRPr="00B05CCA">
        <w:t xml:space="preserve"> identity and purity specifications</w:t>
      </w:r>
      <w:r w:rsidR="00C62C5B">
        <w:t xml:space="preserve"> for the enzyme in the Code</w:t>
      </w:r>
      <w:r w:rsidRPr="00B05CCA">
        <w:t xml:space="preserve">. </w:t>
      </w:r>
    </w:p>
    <w:p w14:paraId="6894E317" w14:textId="3073F474" w:rsidR="005B59CE" w:rsidRPr="00B05CCA" w:rsidRDefault="005B59CE" w:rsidP="00475A54"/>
    <w:p w14:paraId="162888F4" w14:textId="2ACB25A2" w:rsidR="00C55238" w:rsidRDefault="00B05CCA" w:rsidP="00997296">
      <w:r w:rsidRPr="00B05CCA">
        <w:t>Subtilisin</w:t>
      </w:r>
      <w:r w:rsidR="005B59CE" w:rsidRPr="00B05CCA">
        <w:t xml:space="preserve"> performs its technological purpose during production </w:t>
      </w:r>
      <w:r w:rsidRPr="00B05CCA">
        <w:t>of potable alcohol</w:t>
      </w:r>
      <w:r w:rsidR="005B59CE" w:rsidRPr="00B05CCA">
        <w:t xml:space="preserve"> </w:t>
      </w:r>
      <w:r w:rsidRPr="00B05CCA">
        <w:t>and is</w:t>
      </w:r>
      <w:r w:rsidR="005B59CE" w:rsidRPr="00B05CCA">
        <w:t xml:space="preserve"> not performing a technological function in the final food</w:t>
      </w:r>
      <w:r w:rsidRPr="00B05CCA">
        <w:t>, therefore functioning as a processing aid</w:t>
      </w:r>
      <w:r w:rsidR="00840DB4">
        <w:t xml:space="preserve"> as defined in the Code</w:t>
      </w:r>
      <w:r w:rsidR="005B59CE" w:rsidRPr="00B05CCA">
        <w:t>.</w:t>
      </w:r>
    </w:p>
    <w:p w14:paraId="1640EE8A" w14:textId="77777777" w:rsidR="000A4A62" w:rsidRPr="000A4A62" w:rsidRDefault="000A4A62" w:rsidP="000A4A62">
      <w:pPr>
        <w:pStyle w:val="Heading1"/>
        <w:rPr>
          <w:lang w:bidi="en-US"/>
        </w:rPr>
      </w:pPr>
      <w:bookmarkStart w:id="34" w:name="_Toc18672374"/>
      <w:bookmarkStart w:id="35" w:name="_Toc505255637"/>
      <w:bookmarkStart w:id="36" w:name="_Toc53649915"/>
      <w:bookmarkStart w:id="37" w:name="_Toc71123619"/>
      <w:r w:rsidRPr="000A4A62">
        <w:t>3</w:t>
      </w:r>
      <w:r w:rsidRPr="000A4A62">
        <w:tab/>
        <w:t>Safety assessment</w:t>
      </w:r>
      <w:bookmarkStart w:id="38" w:name="_Toc499282437"/>
      <w:bookmarkStart w:id="39" w:name="_Toc471740081"/>
      <w:bookmarkEnd w:id="34"/>
      <w:bookmarkEnd w:id="35"/>
      <w:bookmarkEnd w:id="36"/>
      <w:bookmarkEnd w:id="37"/>
    </w:p>
    <w:p w14:paraId="540BDFB3" w14:textId="77777777" w:rsidR="000A4A62" w:rsidRPr="000A4A62" w:rsidRDefault="000A4A62" w:rsidP="00F21A4E">
      <w:pPr>
        <w:pStyle w:val="Heading2"/>
      </w:pPr>
      <w:bookmarkStart w:id="40" w:name="_Toc18672375"/>
      <w:bookmarkStart w:id="41" w:name="_Toc505255638"/>
      <w:bookmarkStart w:id="42" w:name="_Toc53649916"/>
      <w:bookmarkStart w:id="43" w:name="_Toc71123620"/>
      <w:r w:rsidRPr="000A4A62">
        <w:t>3.1</w:t>
      </w:r>
      <w:r w:rsidRPr="000A4A62">
        <w:tab/>
        <w:t>Objectives for safety assessment</w:t>
      </w:r>
      <w:bookmarkEnd w:id="40"/>
      <w:bookmarkEnd w:id="41"/>
      <w:bookmarkEnd w:id="42"/>
      <w:bookmarkEnd w:id="43"/>
      <w:r w:rsidRPr="000A4A62">
        <w:t xml:space="preserve"> </w:t>
      </w:r>
    </w:p>
    <w:p w14:paraId="6691BF60" w14:textId="62693BF9" w:rsidR="000A4A62" w:rsidRDefault="000A4A62" w:rsidP="000A4A62">
      <w:r>
        <w:rPr>
          <w:lang w:eastAsia="en-AU" w:bidi="ar-SA"/>
        </w:rPr>
        <w:t xml:space="preserve">The objectives of this safety assessment for subtilisin are to </w:t>
      </w:r>
      <w:r>
        <w:t>evaluate any potential public health and safety concerns that may arise from the use of this enzyme</w:t>
      </w:r>
      <w:r>
        <w:rPr>
          <w:lang w:eastAsia="en-AU"/>
        </w:rPr>
        <w:t xml:space="preserve">, produced by a GM microorganism, </w:t>
      </w:r>
      <w:r>
        <w:t>as a processing aid. Specifically this will be by considering:</w:t>
      </w:r>
    </w:p>
    <w:p w14:paraId="0067AE8E" w14:textId="77777777" w:rsidR="000A4A62" w:rsidRDefault="000A4A62" w:rsidP="000A4A62"/>
    <w:p w14:paraId="24A0278C" w14:textId="77777777" w:rsidR="000A4A62" w:rsidRPr="009E0B40" w:rsidRDefault="000A4A62" w:rsidP="009E0B40">
      <w:pPr>
        <w:pStyle w:val="FSBullet1"/>
      </w:pPr>
      <w:r>
        <w:t xml:space="preserve">history of use </w:t>
      </w:r>
      <w:r w:rsidRPr="009E0B40">
        <w:t>of the host and gene donor microorganisms</w:t>
      </w:r>
    </w:p>
    <w:p w14:paraId="2F19F4E9" w14:textId="77777777" w:rsidR="000A4A62" w:rsidRPr="009E0B40" w:rsidRDefault="000A4A62" w:rsidP="009E0B40">
      <w:pPr>
        <w:pStyle w:val="FSBullet1"/>
      </w:pPr>
      <w:r w:rsidRPr="009E0B40">
        <w:t>characterisation of the genetic modification(s)</w:t>
      </w:r>
    </w:p>
    <w:p w14:paraId="11D568B6" w14:textId="355EE5A3" w:rsidR="000A4A62" w:rsidRDefault="000A4A62" w:rsidP="009E0B40">
      <w:pPr>
        <w:pStyle w:val="FSBullet1"/>
      </w:pPr>
      <w:r w:rsidRPr="009E0B40">
        <w:t>safety of the e</w:t>
      </w:r>
      <w:r>
        <w:t>nzyme.</w:t>
      </w:r>
    </w:p>
    <w:p w14:paraId="431ECE55" w14:textId="06A5C403" w:rsidR="000A4A62" w:rsidRDefault="000A4A62" w:rsidP="00F21A4E">
      <w:pPr>
        <w:pStyle w:val="Heading2"/>
      </w:pPr>
      <w:bookmarkStart w:id="44" w:name="_Toc471740085"/>
      <w:bookmarkStart w:id="45" w:name="_Toc18672376"/>
      <w:bookmarkStart w:id="46" w:name="_Toc505255639"/>
      <w:bookmarkStart w:id="47" w:name="_Toc499282440"/>
      <w:bookmarkStart w:id="48" w:name="_Toc53649917"/>
      <w:bookmarkStart w:id="49" w:name="_Toc71123621"/>
      <w:bookmarkEnd w:id="38"/>
      <w:bookmarkEnd w:id="39"/>
      <w:r>
        <w:t>3.2</w:t>
      </w:r>
      <w:bookmarkEnd w:id="44"/>
      <w:r>
        <w:tab/>
        <w:t>History of use</w:t>
      </w:r>
      <w:bookmarkEnd w:id="45"/>
      <w:bookmarkEnd w:id="46"/>
      <w:bookmarkEnd w:id="47"/>
      <w:bookmarkEnd w:id="48"/>
      <w:r>
        <w:t xml:space="preserve"> </w:t>
      </w:r>
      <w:r w:rsidR="002F4DDF" w:rsidRPr="002F4DDF">
        <w:t>of host and gene donor microorganisms</w:t>
      </w:r>
      <w:bookmarkEnd w:id="49"/>
    </w:p>
    <w:p w14:paraId="0FDE5FE9" w14:textId="77777777" w:rsidR="000A4A62" w:rsidRPr="000A4A62" w:rsidRDefault="000A4A62" w:rsidP="000A4A62">
      <w:pPr>
        <w:pStyle w:val="Heading3"/>
      </w:pPr>
      <w:bookmarkStart w:id="50" w:name="_Toc18672377"/>
      <w:bookmarkStart w:id="51" w:name="_Toc499282441"/>
      <w:bookmarkStart w:id="52" w:name="_Toc498940968"/>
      <w:r w:rsidRPr="000A4A62">
        <w:t>3.2.1</w:t>
      </w:r>
      <w:r w:rsidRPr="000A4A62">
        <w:tab/>
        <w:t>Host organism</w:t>
      </w:r>
      <w:bookmarkEnd w:id="50"/>
      <w:bookmarkEnd w:id="51"/>
      <w:bookmarkEnd w:id="52"/>
      <w:r w:rsidRPr="000A4A62">
        <w:t xml:space="preserve"> </w:t>
      </w:r>
    </w:p>
    <w:p w14:paraId="611216A1" w14:textId="77777777" w:rsidR="000A4A62" w:rsidRDefault="000A4A62" w:rsidP="000A4A62">
      <w:r>
        <w:rPr>
          <w:i/>
        </w:rPr>
        <w:t>Bacillus licheniformis</w:t>
      </w:r>
      <w:r>
        <w:t xml:space="preserve"> </w:t>
      </w:r>
    </w:p>
    <w:p w14:paraId="0DFB060B" w14:textId="77777777" w:rsidR="000A4A62" w:rsidRDefault="000A4A62" w:rsidP="000A4A62"/>
    <w:p w14:paraId="72238885" w14:textId="77777777" w:rsidR="000A4A62" w:rsidRDefault="000A4A62" w:rsidP="000A4A62">
      <w:r>
        <w:rPr>
          <w:i/>
        </w:rPr>
        <w:t>B. licheniformis</w:t>
      </w:r>
      <w:r>
        <w:t xml:space="preserve"> is widely used to produce food-grade enzymes and other food products (Schallmey et al. 2004). FSANZ has previously assessed the safety of </w:t>
      </w:r>
      <w:r>
        <w:rPr>
          <w:i/>
        </w:rPr>
        <w:t>B. licheniformis</w:t>
      </w:r>
      <w:r>
        <w:t xml:space="preserve"> as the </w:t>
      </w:r>
      <w:r>
        <w:rPr>
          <w:szCs w:val="22"/>
        </w:rPr>
        <w:t xml:space="preserve">source organism </w:t>
      </w:r>
      <w:r>
        <w:t xml:space="preserve">for a number of food processing aids (both GM and non-GM). Schedule 18 to Standard 1.3.3 of the Code currently permits the use of the following enzymes derived from </w:t>
      </w:r>
      <w:r>
        <w:rPr>
          <w:i/>
        </w:rPr>
        <w:t>B. licheniformis</w:t>
      </w:r>
      <w:r>
        <w:t>: α-amylase, chymotrypsin, endo-1,4-beta-xylanase, β-galactosidase, glycerophospholipid cholesterol acyltransferase, maltotetraohydrolase, pullulanase and serine proteinase.</w:t>
      </w:r>
    </w:p>
    <w:p w14:paraId="58393CD1" w14:textId="77777777" w:rsidR="000A4A62" w:rsidRDefault="000A4A62" w:rsidP="000A4A62"/>
    <w:p w14:paraId="26DF0A59" w14:textId="1053CB76" w:rsidR="000A4A62" w:rsidRDefault="00465E86" w:rsidP="000A4A62">
      <w:pPr>
        <w:pStyle w:val="Default"/>
        <w:rPr>
          <w:color w:val="000000" w:themeColor="text1"/>
          <w:sz w:val="22"/>
          <w:szCs w:val="22"/>
        </w:rPr>
      </w:pPr>
      <w:r>
        <w:rPr>
          <w:iCs/>
          <w:color w:val="000000" w:themeColor="text1"/>
          <w:sz w:val="22"/>
          <w:szCs w:val="22"/>
        </w:rPr>
        <w:t xml:space="preserve">Asporogenic forms of </w:t>
      </w:r>
      <w:r>
        <w:rPr>
          <w:i/>
          <w:iCs/>
          <w:color w:val="000000" w:themeColor="text1"/>
          <w:sz w:val="22"/>
          <w:szCs w:val="22"/>
        </w:rPr>
        <w:t>B. licheniformis</w:t>
      </w:r>
      <w:r>
        <w:rPr>
          <w:color w:val="000000" w:themeColor="text1"/>
          <w:sz w:val="22"/>
          <w:szCs w:val="22"/>
        </w:rPr>
        <w:t xml:space="preserve"> are designated as Risk Group 1 agents</w:t>
      </w:r>
      <w:r w:rsidR="00396758">
        <w:rPr>
          <w:color w:val="000000" w:themeColor="text1"/>
          <w:sz w:val="22"/>
          <w:szCs w:val="22"/>
        </w:rPr>
        <w:t>,</w:t>
      </w:r>
      <w:r>
        <w:rPr>
          <w:color w:val="000000" w:themeColor="text1"/>
          <w:sz w:val="22"/>
          <w:szCs w:val="22"/>
        </w:rPr>
        <w:t xml:space="preserve"> which </w:t>
      </w:r>
      <w:r>
        <w:rPr>
          <w:color w:val="auto"/>
          <w:sz w:val="22"/>
          <w:szCs w:val="22"/>
        </w:rPr>
        <w:t>are not associated with disease in healthy adult humans (</w:t>
      </w:r>
      <w:r w:rsidRPr="000A4A62">
        <w:rPr>
          <w:color w:val="auto"/>
          <w:sz w:val="22"/>
          <w:szCs w:val="22"/>
        </w:rPr>
        <w:t>NIH, 2013</w:t>
      </w:r>
      <w:r>
        <w:rPr>
          <w:color w:val="auto"/>
          <w:sz w:val="22"/>
          <w:szCs w:val="22"/>
        </w:rPr>
        <w:t xml:space="preserve">). </w:t>
      </w:r>
      <w:r w:rsidR="000A4A62">
        <w:rPr>
          <w:color w:val="000000" w:themeColor="text1"/>
          <w:sz w:val="22"/>
          <w:szCs w:val="22"/>
        </w:rPr>
        <w:t xml:space="preserve">Virulence is </w:t>
      </w:r>
      <w:r>
        <w:rPr>
          <w:color w:val="000000" w:themeColor="text1"/>
          <w:sz w:val="22"/>
          <w:szCs w:val="22"/>
        </w:rPr>
        <w:t xml:space="preserve">also </w:t>
      </w:r>
      <w:r w:rsidR="000A4A62">
        <w:rPr>
          <w:color w:val="000000" w:themeColor="text1"/>
          <w:sz w:val="22"/>
          <w:szCs w:val="22"/>
        </w:rPr>
        <w:t xml:space="preserve">not generally associated with </w:t>
      </w:r>
      <w:r w:rsidR="000A4A62">
        <w:rPr>
          <w:i/>
          <w:iCs/>
          <w:color w:val="000000" w:themeColor="text1"/>
          <w:sz w:val="22"/>
          <w:szCs w:val="22"/>
        </w:rPr>
        <w:t>B. licheniformis</w:t>
      </w:r>
      <w:r>
        <w:rPr>
          <w:i/>
          <w:iCs/>
          <w:color w:val="000000" w:themeColor="text1"/>
          <w:sz w:val="22"/>
          <w:szCs w:val="22"/>
        </w:rPr>
        <w:t>.</w:t>
      </w:r>
      <w:r w:rsidR="000A4A62" w:rsidDel="00396758">
        <w:rPr>
          <w:i/>
          <w:color w:val="000000" w:themeColor="text1"/>
          <w:sz w:val="22"/>
          <w:szCs w:val="22"/>
        </w:rPr>
        <w:t xml:space="preserve"> </w:t>
      </w:r>
      <w:r w:rsidR="000A4A62">
        <w:rPr>
          <w:color w:val="auto"/>
          <w:sz w:val="22"/>
          <w:szCs w:val="22"/>
        </w:rPr>
        <w:t xml:space="preserve">There are, however, strains </w:t>
      </w:r>
      <w:r w:rsidR="000A4A62">
        <w:rPr>
          <w:i/>
          <w:iCs/>
          <w:color w:val="auto"/>
          <w:sz w:val="22"/>
          <w:szCs w:val="22"/>
        </w:rPr>
        <w:t xml:space="preserve">of B. licheniformis </w:t>
      </w:r>
      <w:r w:rsidR="000A4A62">
        <w:rPr>
          <w:iCs/>
          <w:color w:val="auto"/>
          <w:sz w:val="22"/>
          <w:szCs w:val="22"/>
        </w:rPr>
        <w:t>that</w:t>
      </w:r>
      <w:r w:rsidR="000A4A62">
        <w:rPr>
          <w:i/>
          <w:iCs/>
          <w:color w:val="auto"/>
          <w:sz w:val="22"/>
          <w:szCs w:val="22"/>
        </w:rPr>
        <w:t xml:space="preserve"> </w:t>
      </w:r>
      <w:r w:rsidR="000A4A62">
        <w:rPr>
          <w:color w:val="auto"/>
          <w:sz w:val="22"/>
          <w:szCs w:val="22"/>
        </w:rPr>
        <w:t xml:space="preserve">have been implicated in human infection in immunocompromised individuals and neonates </w:t>
      </w:r>
      <w:r w:rsidR="000A4A62">
        <w:rPr>
          <w:color w:val="auto"/>
          <w:sz w:val="22"/>
          <w:szCs w:val="22"/>
        </w:rPr>
        <w:fldChar w:fldCharType="begin"/>
      </w:r>
      <w:r w:rsidR="000A4A62">
        <w:rPr>
          <w:color w:val="auto"/>
          <w:sz w:val="22"/>
          <w:szCs w:val="22"/>
        </w:rPr>
        <w:instrText xml:space="preserve"> ADDIN REFMGR.CITE &lt;Refman&gt;&lt;Cite&gt;&lt;Author&gt;EPA&lt;/Author&gt;&lt;Year&gt;1997&lt;/Year&gt;&lt;RecNum&gt;832&lt;/RecNum&gt;&lt;IDText&gt;Bacillus licheniformis final risk assessment&lt;/IDText&gt;&lt;MDL Ref_Type="Report"&gt;&lt;Ref_Type&gt;Report&lt;/Ref_Type&gt;&lt;Ref_ID&gt;832&lt;/Ref_ID&gt;&lt;Title_Primary&gt;&lt;i&gt;Bacillus licheniformis&lt;/i&gt; final risk assessment&lt;/Title_Primary&gt;&lt;Authors_Primary&gt;EPA&lt;/Authors_Primary&gt;&lt;Date_Primary&gt;1997&lt;/Date_Primary&gt;&lt;Keywords&gt;Bacillus&lt;/Keywords&gt;&lt;Keywords&gt;Risk Assessment&lt;/Keywords&gt;&lt;Reprint&gt;Not in File&lt;/Reprint&gt;&lt;Publisher&gt;United States Environmental Protection Agency&lt;/Publisher&gt;&lt;Date_Secondary&gt;2010/8/28&lt;/Date_Secondary&gt;&lt;Web_URL&gt;&lt;u&gt;www.epa.gov/oppt/biotech/pubs/fra/fra005.htm&lt;/u&gt;&lt;/Web_URL&gt;&lt;ZZ_WorkformID&gt;24&lt;/ZZ_WorkformID&gt;&lt;/MDL&gt;&lt;/Cite&gt;&lt;/Refman&gt;</w:instrText>
      </w:r>
      <w:r w:rsidR="000A4A62">
        <w:rPr>
          <w:color w:val="auto"/>
          <w:sz w:val="22"/>
          <w:szCs w:val="22"/>
        </w:rPr>
        <w:fldChar w:fldCharType="separate"/>
      </w:r>
      <w:r w:rsidR="000A4A62">
        <w:rPr>
          <w:noProof/>
          <w:color w:val="auto"/>
          <w:sz w:val="22"/>
          <w:szCs w:val="22"/>
        </w:rPr>
        <w:t>(EPA, 1997)</w:t>
      </w:r>
      <w:r w:rsidR="000A4A62">
        <w:rPr>
          <w:color w:val="auto"/>
          <w:sz w:val="22"/>
          <w:szCs w:val="22"/>
        </w:rPr>
        <w:fldChar w:fldCharType="end"/>
      </w:r>
      <w:r w:rsidR="000A4A62">
        <w:rPr>
          <w:color w:val="auto"/>
          <w:sz w:val="22"/>
          <w:szCs w:val="22"/>
        </w:rPr>
        <w:t xml:space="preserve">. Toxin-producing isolates of </w:t>
      </w:r>
      <w:r w:rsidR="000A4A62">
        <w:rPr>
          <w:i/>
          <w:iCs/>
          <w:color w:val="auto"/>
          <w:sz w:val="22"/>
          <w:szCs w:val="22"/>
        </w:rPr>
        <w:t xml:space="preserve">B. licheniformis </w:t>
      </w:r>
      <w:r w:rsidR="000A4A62">
        <w:rPr>
          <w:color w:val="auto"/>
          <w:sz w:val="22"/>
          <w:szCs w:val="22"/>
        </w:rPr>
        <w:t>have been isolated from raw milk, commercially-produced baby food and other foods involved in food poisoning incidents</w:t>
      </w:r>
      <w:r w:rsidR="009E61C5">
        <w:rPr>
          <w:color w:val="auto"/>
          <w:sz w:val="22"/>
          <w:szCs w:val="22"/>
        </w:rPr>
        <w:t xml:space="preserve"> (</w:t>
      </w:r>
      <w:r w:rsidR="009E61C5" w:rsidRPr="009E61C5">
        <w:rPr>
          <w:color w:val="auto"/>
          <w:sz w:val="22"/>
          <w:szCs w:val="22"/>
        </w:rPr>
        <w:t>Salkinoja-Salonen</w:t>
      </w:r>
      <w:r w:rsidR="009E61C5">
        <w:rPr>
          <w:color w:val="auto"/>
          <w:sz w:val="22"/>
          <w:szCs w:val="22"/>
        </w:rPr>
        <w:t xml:space="preserve"> et al. 1999)</w:t>
      </w:r>
      <w:r w:rsidR="000A4A62">
        <w:rPr>
          <w:color w:val="auto"/>
          <w:sz w:val="22"/>
          <w:szCs w:val="22"/>
        </w:rPr>
        <w:t xml:space="preserve">. </w:t>
      </w:r>
    </w:p>
    <w:p w14:paraId="559CCBCD" w14:textId="77777777" w:rsidR="000A4A62" w:rsidRDefault="000A4A62" w:rsidP="000A4A62"/>
    <w:p w14:paraId="6842D085" w14:textId="77777777" w:rsidR="00056168" w:rsidRDefault="008E705F" w:rsidP="000A4A62">
      <w:pPr>
        <w:rPr>
          <w:i/>
          <w:iCs/>
          <w:szCs w:val="22"/>
        </w:rPr>
      </w:pPr>
      <w:r>
        <w:t xml:space="preserve">The production strain relevant to this application is derived from </w:t>
      </w:r>
      <w:r w:rsidRPr="00DF7711">
        <w:rPr>
          <w:rFonts w:eastAsiaTheme="minorHAnsi" w:cstheme="minorBidi"/>
          <w:szCs w:val="22"/>
          <w:lang w:val="en-US" w:eastAsia="en-AU" w:bidi="ar-SA"/>
        </w:rPr>
        <w:t xml:space="preserve">the </w:t>
      </w:r>
      <w:r w:rsidRPr="00DF7711">
        <w:rPr>
          <w:rFonts w:eastAsiaTheme="minorHAnsi" w:cstheme="minorBidi"/>
          <w:i/>
          <w:szCs w:val="22"/>
          <w:lang w:val="en-US" w:eastAsia="en-AU" w:bidi="ar-SA"/>
        </w:rPr>
        <w:t>B. licheniformis</w:t>
      </w:r>
      <w:r w:rsidRPr="00DF7711">
        <w:rPr>
          <w:rFonts w:eastAsiaTheme="minorHAnsi" w:cstheme="minorBidi"/>
          <w:szCs w:val="22"/>
          <w:lang w:val="en-US" w:eastAsia="en-AU" w:bidi="ar-SA"/>
        </w:rPr>
        <w:t xml:space="preserve"> Si3 lineage</w:t>
      </w:r>
      <w:r>
        <w:t xml:space="preserve">, and the applicant has used other </w:t>
      </w:r>
      <w:r w:rsidRPr="00DF7711">
        <w:rPr>
          <w:rFonts w:eastAsiaTheme="minorHAnsi" w:cstheme="minorBidi"/>
          <w:i/>
          <w:szCs w:val="22"/>
          <w:lang w:val="en-US" w:eastAsia="en-AU" w:bidi="ar-SA"/>
        </w:rPr>
        <w:t>B. licheniformis</w:t>
      </w:r>
      <w:r w:rsidRPr="00DF7711">
        <w:rPr>
          <w:rFonts w:eastAsiaTheme="minorHAnsi" w:cstheme="minorBidi"/>
          <w:szCs w:val="22"/>
          <w:lang w:val="en-US" w:eastAsia="en-AU" w:bidi="ar-SA"/>
        </w:rPr>
        <w:t xml:space="preserve"> production strains derived</w:t>
      </w:r>
      <w:r>
        <w:rPr>
          <w:rFonts w:eastAsiaTheme="minorHAnsi" w:cstheme="minorBidi"/>
          <w:szCs w:val="22"/>
          <w:lang w:val="en-US" w:eastAsia="en-AU" w:bidi="ar-SA"/>
        </w:rPr>
        <w:t xml:space="preserve"> from this lineage safely for many years.</w:t>
      </w:r>
      <w:r>
        <w:t xml:space="preserve"> </w:t>
      </w:r>
      <w:r w:rsidR="000A4A62">
        <w:t xml:space="preserve">Data provided with the application confirmed the identity of the parental strain and the production strain as </w:t>
      </w:r>
      <w:r w:rsidR="000A4A62">
        <w:rPr>
          <w:i/>
          <w:iCs/>
          <w:color w:val="000000" w:themeColor="text1"/>
          <w:szCs w:val="22"/>
        </w:rPr>
        <w:t>B. licheniformis</w:t>
      </w:r>
      <w:r w:rsidR="000A4A62">
        <w:rPr>
          <w:i/>
          <w:iCs/>
          <w:szCs w:val="22"/>
        </w:rPr>
        <w:t xml:space="preserve">. </w:t>
      </w:r>
    </w:p>
    <w:p w14:paraId="2FF5F066" w14:textId="77777777" w:rsidR="00056168" w:rsidRDefault="00056168" w:rsidP="000A4A62">
      <w:pPr>
        <w:rPr>
          <w:i/>
          <w:iCs/>
          <w:szCs w:val="22"/>
        </w:rPr>
      </w:pPr>
    </w:p>
    <w:p w14:paraId="7F1E57E4" w14:textId="2267D5E0" w:rsidR="00056168" w:rsidRDefault="00056168" w:rsidP="000A4A62">
      <w:pPr>
        <w:rPr>
          <w:rFonts w:cs="Arial"/>
          <w:szCs w:val="22"/>
        </w:rPr>
      </w:pPr>
      <w:r>
        <w:rPr>
          <w:iCs/>
          <w:szCs w:val="22"/>
        </w:rPr>
        <w:t xml:space="preserve">The absence of cytotoxicity has been demonstrated for the Si3 strain lineage. </w:t>
      </w:r>
      <w:r w:rsidR="00D8174E">
        <w:rPr>
          <w:iCs/>
          <w:szCs w:val="22"/>
        </w:rPr>
        <w:t>Data provided by the applicant described the</w:t>
      </w:r>
      <w:r w:rsidR="008E705F">
        <w:rPr>
          <w:iCs/>
          <w:szCs w:val="22"/>
        </w:rPr>
        <w:t xml:space="preserve"> analysis</w:t>
      </w:r>
      <w:r w:rsidR="000A4A62">
        <w:rPr>
          <w:iCs/>
          <w:szCs w:val="22"/>
        </w:rPr>
        <w:t xml:space="preserve"> of cytotoxicity following the current guidelines for the assessment of toxigenic potential of </w:t>
      </w:r>
      <w:r w:rsidR="000A4A62">
        <w:rPr>
          <w:i/>
          <w:iCs/>
          <w:szCs w:val="22"/>
        </w:rPr>
        <w:t>Bacillus</w:t>
      </w:r>
      <w:r w:rsidR="000A4A62">
        <w:rPr>
          <w:iCs/>
          <w:szCs w:val="22"/>
        </w:rPr>
        <w:t xml:space="preserve"> species (EFSA, 2014</w:t>
      </w:r>
      <w:r w:rsidR="00ED42B4">
        <w:rPr>
          <w:iCs/>
          <w:szCs w:val="22"/>
        </w:rPr>
        <w:t>)</w:t>
      </w:r>
      <w:r w:rsidR="007F47FA">
        <w:rPr>
          <w:iCs/>
          <w:szCs w:val="22"/>
        </w:rPr>
        <w:t>. T</w:t>
      </w:r>
      <w:r w:rsidR="000A4A62">
        <w:rPr>
          <w:rFonts w:cs="Arial"/>
        </w:rPr>
        <w:t xml:space="preserve">he absence of toxigenic activity of the parental strain and a predecessor strain of the production strain were </w:t>
      </w:r>
      <w:r w:rsidR="000A4A62">
        <w:rPr>
          <w:rFonts w:cs="Arial"/>
        </w:rPr>
        <w:lastRenderedPageBreak/>
        <w:t xml:space="preserve">demonstrated in </w:t>
      </w:r>
      <w:r w:rsidR="00565666">
        <w:rPr>
          <w:rFonts w:cs="Arial"/>
        </w:rPr>
        <w:t>Vero</w:t>
      </w:r>
      <w:r w:rsidR="009E61C5">
        <w:rPr>
          <w:rStyle w:val="FootnoteReference"/>
          <w:rFonts w:cs="Arial"/>
        </w:rPr>
        <w:footnoteReference w:id="6"/>
      </w:r>
      <w:r w:rsidR="00565666">
        <w:rPr>
          <w:rFonts w:cs="Arial"/>
        </w:rPr>
        <w:t xml:space="preserve"> </w:t>
      </w:r>
      <w:r w:rsidR="000A4A62">
        <w:rPr>
          <w:rFonts w:cs="Arial"/>
        </w:rPr>
        <w:t xml:space="preserve">cells. </w:t>
      </w:r>
      <w:r w:rsidR="00D8174E">
        <w:rPr>
          <w:rFonts w:cs="Arial"/>
        </w:rPr>
        <w:t>The lack of cytotoxicity fo</w:t>
      </w:r>
      <w:r w:rsidR="000907E7">
        <w:rPr>
          <w:rFonts w:cs="Arial"/>
        </w:rPr>
        <w:t>r the same strains has</w:t>
      </w:r>
      <w:r w:rsidR="00D8174E">
        <w:rPr>
          <w:rFonts w:cs="Arial"/>
        </w:rPr>
        <w:t xml:space="preserve"> also</w:t>
      </w:r>
      <w:r w:rsidR="000907E7">
        <w:rPr>
          <w:rFonts w:cs="Arial"/>
        </w:rPr>
        <w:t xml:space="preserve"> been</w:t>
      </w:r>
      <w:r w:rsidR="00D8174E">
        <w:rPr>
          <w:rFonts w:cs="Arial"/>
        </w:rPr>
        <w:t xml:space="preserve"> demonstrated in </w:t>
      </w:r>
      <w:r w:rsidR="00D8174E">
        <w:rPr>
          <w:szCs w:val="22"/>
        </w:rPr>
        <w:t xml:space="preserve">Chinese hamster ovary </w:t>
      </w:r>
      <w:r w:rsidR="00D8174E" w:rsidRPr="000907E7">
        <w:rPr>
          <w:szCs w:val="22"/>
        </w:rPr>
        <w:t>cells</w:t>
      </w:r>
      <w:r w:rsidR="000907E7" w:rsidRPr="000907E7">
        <w:rPr>
          <w:rFonts w:cs="Arial"/>
          <w:szCs w:val="22"/>
        </w:rPr>
        <w:t xml:space="preserve"> (</w:t>
      </w:r>
      <w:r w:rsidR="000907E7" w:rsidRPr="000907E7">
        <w:rPr>
          <w:szCs w:val="22"/>
        </w:rPr>
        <w:t>Pedersen et al. 2002)</w:t>
      </w:r>
      <w:r w:rsidR="00D8174E" w:rsidRPr="000907E7">
        <w:rPr>
          <w:rFonts w:cs="Arial"/>
          <w:szCs w:val="22"/>
        </w:rPr>
        <w:t>.</w:t>
      </w:r>
      <w:r w:rsidR="006C13C5">
        <w:rPr>
          <w:rFonts w:cs="Arial"/>
          <w:szCs w:val="22"/>
        </w:rPr>
        <w:t xml:space="preserve"> </w:t>
      </w:r>
    </w:p>
    <w:p w14:paraId="0BF99A2D" w14:textId="77777777" w:rsidR="00056168" w:rsidRDefault="00056168" w:rsidP="000A4A62">
      <w:pPr>
        <w:rPr>
          <w:rFonts w:cs="Arial"/>
          <w:szCs w:val="22"/>
        </w:rPr>
      </w:pPr>
    </w:p>
    <w:p w14:paraId="7B435EA5" w14:textId="7FB34A78" w:rsidR="000A4A62" w:rsidRPr="000907E7" w:rsidRDefault="000A4A62" w:rsidP="000A4A62">
      <w:pPr>
        <w:rPr>
          <w:szCs w:val="22"/>
        </w:rPr>
      </w:pPr>
      <w:r>
        <w:t xml:space="preserve">Data </w:t>
      </w:r>
      <w:r w:rsidR="00565666">
        <w:t xml:space="preserve">was </w:t>
      </w:r>
      <w:r>
        <w:t>also provided with the application demonstrat</w:t>
      </w:r>
      <w:r w:rsidR="00565666">
        <w:t>ing</w:t>
      </w:r>
      <w:r>
        <w:t xml:space="preserve"> that the </w:t>
      </w:r>
      <w:r>
        <w:rPr>
          <w:i/>
          <w:iCs/>
          <w:color w:val="000000" w:themeColor="text1"/>
          <w:szCs w:val="22"/>
        </w:rPr>
        <w:t xml:space="preserve">B. licheniformis </w:t>
      </w:r>
      <w:r>
        <w:rPr>
          <w:iCs/>
          <w:color w:val="000000" w:themeColor="text1"/>
          <w:szCs w:val="22"/>
        </w:rPr>
        <w:t>production strain is not detectable in the final enzyme preparation to be used as a food processing aid.</w:t>
      </w:r>
      <w:r w:rsidR="00DD1D43">
        <w:rPr>
          <w:iCs/>
          <w:color w:val="000000" w:themeColor="text1"/>
          <w:szCs w:val="22"/>
        </w:rPr>
        <w:t xml:space="preserve"> The manufacturing process involves appropriate controls to prevent microbial contamination</w:t>
      </w:r>
      <w:r w:rsidR="00ED42B4">
        <w:rPr>
          <w:iCs/>
          <w:color w:val="000000" w:themeColor="text1"/>
          <w:szCs w:val="22"/>
        </w:rPr>
        <w:t>,</w:t>
      </w:r>
      <w:r w:rsidR="00DD1D43">
        <w:rPr>
          <w:iCs/>
          <w:color w:val="000000" w:themeColor="text1"/>
          <w:szCs w:val="22"/>
        </w:rPr>
        <w:t xml:space="preserve"> and the microbial quality of the final enzyme preparation meets the specifications required by JECFA</w:t>
      </w:r>
      <w:r w:rsidR="00ED42B4">
        <w:rPr>
          <w:iCs/>
          <w:color w:val="000000" w:themeColor="text1"/>
          <w:szCs w:val="22"/>
        </w:rPr>
        <w:t xml:space="preserve"> (</w:t>
      </w:r>
      <w:r w:rsidR="000907E7">
        <w:rPr>
          <w:iCs/>
          <w:color w:val="000000" w:themeColor="text1"/>
          <w:szCs w:val="22"/>
        </w:rPr>
        <w:t>2006)</w:t>
      </w:r>
      <w:r w:rsidR="005D72E2">
        <w:rPr>
          <w:iCs/>
          <w:color w:val="000000" w:themeColor="text1"/>
          <w:szCs w:val="22"/>
        </w:rPr>
        <w:t xml:space="preserve"> </w:t>
      </w:r>
      <w:r w:rsidR="00ED42B4">
        <w:rPr>
          <w:iCs/>
          <w:color w:val="000000" w:themeColor="text1"/>
          <w:szCs w:val="22"/>
        </w:rPr>
        <w:t>(</w:t>
      </w:r>
      <w:r w:rsidR="00ED42B4" w:rsidRPr="00CF19B2">
        <w:rPr>
          <w:iCs/>
          <w:color w:val="000000" w:themeColor="text1"/>
          <w:szCs w:val="22"/>
        </w:rPr>
        <w:t xml:space="preserve">see </w:t>
      </w:r>
      <w:r w:rsidR="00ED42B4">
        <w:rPr>
          <w:iCs/>
          <w:color w:val="000000" w:themeColor="text1"/>
          <w:szCs w:val="22"/>
        </w:rPr>
        <w:t>section 2.2.3)</w:t>
      </w:r>
      <w:r w:rsidR="00DD1D43">
        <w:rPr>
          <w:iCs/>
          <w:color w:val="000000" w:themeColor="text1"/>
          <w:szCs w:val="22"/>
        </w:rPr>
        <w:t>.</w:t>
      </w:r>
    </w:p>
    <w:p w14:paraId="6292E4B6" w14:textId="77777777" w:rsidR="000A4A62" w:rsidRDefault="000A4A62" w:rsidP="000A4A62"/>
    <w:p w14:paraId="385D153A" w14:textId="0484AD93" w:rsidR="000A4A62" w:rsidRDefault="000A4A62" w:rsidP="000A4A62">
      <w:pPr>
        <w:rPr>
          <w:lang w:eastAsia="en-AU" w:bidi="ar-SA"/>
        </w:rPr>
      </w:pPr>
      <w:r>
        <w:t>To prepare the host organism</w:t>
      </w:r>
      <w:r>
        <w:rPr>
          <w:rFonts w:cs="Arial"/>
          <w:color w:val="000000" w:themeColor="text1"/>
        </w:rPr>
        <w:t xml:space="preserve"> for the expression of subtilisin, a series of genetic modification steps were undertaken. A description of these changes ha</w:t>
      </w:r>
      <w:r w:rsidR="005F4482">
        <w:rPr>
          <w:rFonts w:cs="Arial"/>
          <w:color w:val="000000" w:themeColor="text1"/>
        </w:rPr>
        <w:t>s</w:t>
      </w:r>
      <w:r>
        <w:rPr>
          <w:rFonts w:cs="Arial"/>
          <w:color w:val="000000" w:themeColor="text1"/>
        </w:rPr>
        <w:t xml:space="preserve"> been assessed and include</w:t>
      </w:r>
      <w:r w:rsidR="005F4482">
        <w:rPr>
          <w:rFonts w:cs="Arial"/>
          <w:color w:val="000000" w:themeColor="text1"/>
        </w:rPr>
        <w:t>s</w:t>
      </w:r>
      <w:r>
        <w:rPr>
          <w:rFonts w:cs="Arial"/>
          <w:color w:val="000000" w:themeColor="text1"/>
        </w:rPr>
        <w:t xml:space="preserve"> silencing of unnecessary proteins that would impact the yield and purity of </w:t>
      </w:r>
      <w:r>
        <w:rPr>
          <w:rFonts w:cs="Arial"/>
        </w:rPr>
        <w:t xml:space="preserve">subtilisin </w:t>
      </w:r>
      <w:r>
        <w:rPr>
          <w:rFonts w:cs="Arial"/>
          <w:color w:val="000000" w:themeColor="text1"/>
        </w:rPr>
        <w:t>and to increase the ability and efficiency to transform the host</w:t>
      </w:r>
      <w:r>
        <w:rPr>
          <w:lang w:eastAsia="en-AU" w:bidi="ar-SA"/>
        </w:rPr>
        <w:t>. During this process, an antibiotic resistance gene was integrated into the host genome. After successful transformation of the subtilisin gene sequence was achieved, the antibiotic resistance gene was removed.</w:t>
      </w:r>
    </w:p>
    <w:p w14:paraId="66041641" w14:textId="77777777" w:rsidR="000A4A62" w:rsidRDefault="000A4A62" w:rsidP="000A4A62">
      <w:pPr>
        <w:pStyle w:val="Heading3"/>
        <w:rPr>
          <w:lang w:bidi="en-US"/>
        </w:rPr>
      </w:pPr>
      <w:bookmarkStart w:id="53" w:name="_Toc18672378"/>
      <w:bookmarkStart w:id="54" w:name="_Toc499282442"/>
      <w:bookmarkStart w:id="55" w:name="_Toc498940969"/>
      <w:r>
        <w:t>3.2.2</w:t>
      </w:r>
      <w:r>
        <w:tab/>
        <w:t>Gene donor organism(s)</w:t>
      </w:r>
      <w:bookmarkEnd w:id="53"/>
      <w:bookmarkEnd w:id="54"/>
      <w:bookmarkEnd w:id="55"/>
      <w:r>
        <w:t xml:space="preserve">  </w:t>
      </w:r>
    </w:p>
    <w:p w14:paraId="45D6A0B1" w14:textId="7103808B" w:rsidR="000A4A62" w:rsidRDefault="000A4A62" w:rsidP="000A4A62">
      <w:pPr>
        <w:spacing w:line="20" w:lineRule="atLeast"/>
        <w:rPr>
          <w:rFonts w:cs="Arial"/>
        </w:rPr>
      </w:pPr>
      <w:r>
        <w:rPr>
          <w:lang w:eastAsia="en-AU" w:bidi="ar-SA"/>
        </w:rPr>
        <w:t xml:space="preserve">The gene that encodes the subtilisin enzyme was chemically synthesised based on the sequence from </w:t>
      </w:r>
      <w:r>
        <w:rPr>
          <w:i/>
          <w:lang w:eastAsia="en-AU" w:bidi="ar-SA"/>
        </w:rPr>
        <w:t>Pyrococcus furiosus.</w:t>
      </w:r>
      <w:r>
        <w:rPr>
          <w:rFonts w:cs="Arial"/>
          <w:i/>
        </w:rPr>
        <w:t xml:space="preserve"> </w:t>
      </w:r>
      <w:r w:rsidR="00B77C72">
        <w:rPr>
          <w:rFonts w:cs="Arial"/>
          <w:i/>
        </w:rPr>
        <w:t>P.</w:t>
      </w:r>
      <w:r>
        <w:rPr>
          <w:rFonts w:cs="Arial"/>
          <w:i/>
        </w:rPr>
        <w:t xml:space="preserve"> furiosus</w:t>
      </w:r>
      <w:r>
        <w:rPr>
          <w:rFonts w:cs="Arial"/>
        </w:rPr>
        <w:t xml:space="preserve"> is a bacterial extremophile isolated from volcanic marine sediment</w:t>
      </w:r>
      <w:r w:rsidR="003F5CAB">
        <w:rPr>
          <w:rFonts w:cs="Arial"/>
        </w:rPr>
        <w:t xml:space="preserve"> (Fiala</w:t>
      </w:r>
      <w:r>
        <w:rPr>
          <w:rFonts w:cs="Arial"/>
        </w:rPr>
        <w:t xml:space="preserve"> and </w:t>
      </w:r>
      <w:r w:rsidR="003F5CAB">
        <w:rPr>
          <w:rFonts w:cs="Arial"/>
        </w:rPr>
        <w:t xml:space="preserve">Stetter, </w:t>
      </w:r>
      <w:r w:rsidR="003F5CAB" w:rsidRPr="003F5CAB">
        <w:rPr>
          <w:rFonts w:cs="Arial"/>
        </w:rPr>
        <w:t>1986)</w:t>
      </w:r>
      <w:r w:rsidR="003F5CAB">
        <w:rPr>
          <w:rFonts w:cs="Arial"/>
        </w:rPr>
        <w:t xml:space="preserve">, and the </w:t>
      </w:r>
      <w:r w:rsidR="00407ED2">
        <w:rPr>
          <w:lang w:eastAsia="en-AU" w:bidi="ar-SA"/>
        </w:rPr>
        <w:t>sequence</w:t>
      </w:r>
      <w:r w:rsidR="003F5CAB">
        <w:rPr>
          <w:rFonts w:cs="Arial"/>
        </w:rPr>
        <w:t xml:space="preserve"> </w:t>
      </w:r>
      <w:r w:rsidR="007F47FA">
        <w:rPr>
          <w:rFonts w:cs="Arial"/>
        </w:rPr>
        <w:t xml:space="preserve">was synthesised </w:t>
      </w:r>
      <w:r w:rsidR="00407ED2">
        <w:rPr>
          <w:lang w:eastAsia="en-AU" w:bidi="ar-SA"/>
        </w:rPr>
        <w:t xml:space="preserve">from </w:t>
      </w:r>
      <w:r>
        <w:rPr>
          <w:rFonts w:cs="Arial"/>
        </w:rPr>
        <w:t xml:space="preserve">a Biosafety </w:t>
      </w:r>
      <w:r w:rsidR="000907E7">
        <w:rPr>
          <w:rFonts w:cs="Arial"/>
        </w:rPr>
        <w:t>L</w:t>
      </w:r>
      <w:r>
        <w:rPr>
          <w:rFonts w:cs="Arial"/>
        </w:rPr>
        <w:t xml:space="preserve">evel 1 </w:t>
      </w:r>
      <w:r w:rsidR="00407ED2">
        <w:rPr>
          <w:rFonts w:cs="Arial"/>
        </w:rPr>
        <w:t>strain</w:t>
      </w:r>
      <w:r>
        <w:rPr>
          <w:rFonts w:cs="Arial"/>
        </w:rPr>
        <w:t xml:space="preserve">. </w:t>
      </w:r>
    </w:p>
    <w:p w14:paraId="55DF816A" w14:textId="77777777" w:rsidR="000A4A62" w:rsidRDefault="000A4A62" w:rsidP="000A4A62">
      <w:pPr>
        <w:spacing w:line="20" w:lineRule="atLeast"/>
        <w:rPr>
          <w:rFonts w:cs="Arial"/>
        </w:rPr>
      </w:pPr>
    </w:p>
    <w:p w14:paraId="7A74948C" w14:textId="6E5A18AC" w:rsidR="000A4A62" w:rsidRDefault="000A4A62" w:rsidP="000A4A62">
      <w:pPr>
        <w:spacing w:line="20" w:lineRule="atLeast"/>
        <w:rPr>
          <w:rFonts w:cs="Arial"/>
        </w:rPr>
      </w:pPr>
      <w:r>
        <w:rPr>
          <w:rFonts w:cs="Arial"/>
        </w:rPr>
        <w:t xml:space="preserve">A range of regulatory sequences and other non-coding sequences were used to prepare the expression cassettes. </w:t>
      </w:r>
      <w:r w:rsidR="00175CB9">
        <w:rPr>
          <w:rFonts w:cs="Arial"/>
        </w:rPr>
        <w:t xml:space="preserve">Full details about these sequences were provided for assessment but cannot be disclosed because it is </w:t>
      </w:r>
      <w:r w:rsidR="005F4482">
        <w:rPr>
          <w:rFonts w:cs="Arial"/>
        </w:rPr>
        <w:t>confidential commercial information (</w:t>
      </w:r>
      <w:r>
        <w:rPr>
          <w:rFonts w:cs="Arial"/>
        </w:rPr>
        <w:t>CCI</w:t>
      </w:r>
      <w:r w:rsidR="005F4482">
        <w:rPr>
          <w:rFonts w:cs="Arial"/>
        </w:rPr>
        <w:t>)</w:t>
      </w:r>
      <w:r>
        <w:rPr>
          <w:rFonts w:cs="Arial"/>
        </w:rPr>
        <w:t xml:space="preserve">. The microbiological assessment determined that the </w:t>
      </w:r>
      <w:r w:rsidR="00565666">
        <w:rPr>
          <w:rFonts w:cs="Arial"/>
        </w:rPr>
        <w:t xml:space="preserve">gene </w:t>
      </w:r>
      <w:r>
        <w:rPr>
          <w:rFonts w:cs="Arial"/>
        </w:rPr>
        <w:t>donor</w:t>
      </w:r>
      <w:r w:rsidR="00565666">
        <w:rPr>
          <w:rFonts w:cs="Arial"/>
        </w:rPr>
        <w:t xml:space="preserve"> organisms</w:t>
      </w:r>
      <w:r>
        <w:rPr>
          <w:rFonts w:cs="Arial"/>
        </w:rPr>
        <w:t xml:space="preserve"> were all Risk Group 1 or Biosafety Level 1 organisms. </w:t>
      </w:r>
    </w:p>
    <w:p w14:paraId="6573C547" w14:textId="77777777" w:rsidR="000A4A62" w:rsidRPr="00F21A4E" w:rsidRDefault="000A4A62" w:rsidP="00F21A4E">
      <w:pPr>
        <w:pStyle w:val="Heading2"/>
      </w:pPr>
      <w:bookmarkStart w:id="56" w:name="_Toc18672379"/>
      <w:bookmarkStart w:id="57" w:name="_Toc505255640"/>
      <w:bookmarkStart w:id="58" w:name="_Toc499282443"/>
      <w:bookmarkStart w:id="59" w:name="_Toc53649918"/>
      <w:bookmarkStart w:id="60" w:name="_Toc71123622"/>
      <w:r w:rsidRPr="00F21A4E">
        <w:t>3.3</w:t>
      </w:r>
      <w:r w:rsidRPr="00F21A4E">
        <w:tab/>
        <w:t>Characterisation of the genetic modification(s)</w:t>
      </w:r>
      <w:bookmarkEnd w:id="56"/>
      <w:bookmarkEnd w:id="57"/>
      <w:bookmarkEnd w:id="58"/>
      <w:bookmarkEnd w:id="59"/>
      <w:bookmarkEnd w:id="60"/>
    </w:p>
    <w:p w14:paraId="25642FE7" w14:textId="77777777" w:rsidR="000A4A62" w:rsidRDefault="000A4A62" w:rsidP="000A4A62">
      <w:pPr>
        <w:pStyle w:val="Heading3"/>
      </w:pPr>
      <w:bookmarkStart w:id="61" w:name="_Toc18672380"/>
      <w:bookmarkStart w:id="62" w:name="_Toc499282444"/>
      <w:bookmarkStart w:id="63" w:name="_Toc498940971"/>
      <w:r>
        <w:t>3.3.1</w:t>
      </w:r>
      <w:r>
        <w:tab/>
        <w:t>Description of DNA to be introduced and method of transformation</w:t>
      </w:r>
      <w:bookmarkEnd w:id="61"/>
      <w:bookmarkEnd w:id="62"/>
      <w:bookmarkEnd w:id="63"/>
      <w:r>
        <w:t xml:space="preserve"> </w:t>
      </w:r>
    </w:p>
    <w:p w14:paraId="0F8E751B" w14:textId="21674164" w:rsidR="000A4A62" w:rsidRDefault="000A4A62" w:rsidP="000A4A62">
      <w:pPr>
        <w:rPr>
          <w:lang w:eastAsia="en-AU" w:bidi="ar-SA"/>
        </w:rPr>
      </w:pPr>
      <w:r>
        <w:rPr>
          <w:lang w:eastAsia="en-AU" w:bidi="ar-SA"/>
        </w:rPr>
        <w:t>The chemically synthesised gene (</w:t>
      </w:r>
      <w:r>
        <w:rPr>
          <w:i/>
          <w:lang w:eastAsia="en-AU" w:bidi="ar-SA"/>
        </w:rPr>
        <w:t>aprPFU2</w:t>
      </w:r>
      <w:r>
        <w:rPr>
          <w:lang w:eastAsia="en-AU" w:bidi="ar-SA"/>
        </w:rPr>
        <w:t xml:space="preserve">) encoding the subtilisin enzyme was inserted into two distinct </w:t>
      </w:r>
      <w:r>
        <w:rPr>
          <w:i/>
          <w:lang w:eastAsia="en-AU" w:bidi="ar-SA"/>
        </w:rPr>
        <w:t>aprPFU2</w:t>
      </w:r>
      <w:r>
        <w:rPr>
          <w:lang w:eastAsia="en-AU" w:bidi="ar-SA"/>
        </w:rPr>
        <w:t xml:space="preserve"> expression cassettes</w:t>
      </w:r>
      <w:bookmarkStart w:id="64" w:name="_Toc499282445"/>
      <w:bookmarkStart w:id="65" w:name="_Toc498940972"/>
      <w:r>
        <w:rPr>
          <w:lang w:eastAsia="en-AU" w:bidi="ar-SA"/>
        </w:rPr>
        <w:t xml:space="preserve">, designed to allow targeted integration into the host genome. </w:t>
      </w:r>
      <w:r w:rsidR="0026401A">
        <w:rPr>
          <w:lang w:eastAsia="en-AU" w:bidi="ar-SA"/>
        </w:rPr>
        <w:t>Each</w:t>
      </w:r>
      <w:r>
        <w:rPr>
          <w:lang w:eastAsia="en-AU" w:bidi="ar-SA"/>
        </w:rPr>
        <w:t xml:space="preserve"> expression cassette </w:t>
      </w:r>
      <w:r w:rsidR="0026401A">
        <w:rPr>
          <w:lang w:eastAsia="en-AU" w:bidi="ar-SA"/>
        </w:rPr>
        <w:t>was</w:t>
      </w:r>
      <w:r>
        <w:rPr>
          <w:lang w:eastAsia="en-AU" w:bidi="ar-SA"/>
        </w:rPr>
        <w:t xml:space="preserve"> transformed independently into the recipient strain. </w:t>
      </w:r>
      <w:r w:rsidR="0026401A">
        <w:rPr>
          <w:lang w:eastAsia="en-AU" w:bidi="ar-SA"/>
        </w:rPr>
        <w:t>No vector backbone sequence was included in the transformations.</w:t>
      </w:r>
    </w:p>
    <w:p w14:paraId="672F4B86" w14:textId="77777777" w:rsidR="000A4A62" w:rsidRDefault="000A4A62" w:rsidP="000A4A62">
      <w:pPr>
        <w:pStyle w:val="Heading3"/>
        <w:rPr>
          <w:lang w:bidi="en-US"/>
        </w:rPr>
      </w:pPr>
      <w:bookmarkStart w:id="66" w:name="_Toc18672381"/>
      <w:r>
        <w:t>3.3.2</w:t>
      </w:r>
      <w:r>
        <w:tab/>
        <w:t>Characterisation of inserted DNA</w:t>
      </w:r>
      <w:bookmarkEnd w:id="64"/>
      <w:bookmarkEnd w:id="65"/>
      <w:bookmarkEnd w:id="66"/>
    </w:p>
    <w:p w14:paraId="1C712ECC" w14:textId="77F8C649" w:rsidR="000A4A62" w:rsidRDefault="0026401A" w:rsidP="000A4A62">
      <w:pPr>
        <w:rPr>
          <w:rFonts w:cs="Arial"/>
          <w:color w:val="000000" w:themeColor="text1"/>
        </w:rPr>
      </w:pPr>
      <w:bookmarkStart w:id="67" w:name="_Toc499282446"/>
      <w:bookmarkStart w:id="68" w:name="_Toc498940973"/>
      <w:r>
        <w:rPr>
          <w:rFonts w:cs="Arial"/>
          <w:color w:val="000000" w:themeColor="text1"/>
        </w:rPr>
        <w:t>Data from phenotypic analyses was provided, demonstrating the</w:t>
      </w:r>
      <w:r w:rsidR="000A4A62">
        <w:rPr>
          <w:rFonts w:cs="Arial"/>
          <w:color w:val="000000" w:themeColor="text1"/>
        </w:rPr>
        <w:t xml:space="preserve"> </w:t>
      </w:r>
      <w:r>
        <w:rPr>
          <w:rFonts w:cs="Arial"/>
          <w:color w:val="000000" w:themeColor="text1"/>
        </w:rPr>
        <w:t xml:space="preserve">presence of the </w:t>
      </w:r>
      <w:r w:rsidR="000A4A62">
        <w:rPr>
          <w:rFonts w:cs="Arial"/>
          <w:i/>
          <w:color w:val="000000" w:themeColor="text1"/>
        </w:rPr>
        <w:t>aprPFU2</w:t>
      </w:r>
      <w:r w:rsidR="000A4A62">
        <w:rPr>
          <w:rFonts w:cs="Arial"/>
          <w:color w:val="000000" w:themeColor="text1"/>
        </w:rPr>
        <w:t xml:space="preserve"> expression cassettes </w:t>
      </w:r>
      <w:r>
        <w:rPr>
          <w:rFonts w:cs="Arial"/>
          <w:color w:val="000000" w:themeColor="text1"/>
        </w:rPr>
        <w:t>in the production strain.</w:t>
      </w:r>
    </w:p>
    <w:p w14:paraId="3D1CF6CA" w14:textId="77777777" w:rsidR="000A4A62" w:rsidRDefault="000A4A62" w:rsidP="000A4A62">
      <w:pPr>
        <w:pStyle w:val="Heading3"/>
        <w:rPr>
          <w:rFonts w:cstheme="majorBidi"/>
          <w:color w:val="auto"/>
        </w:rPr>
      </w:pPr>
      <w:bookmarkStart w:id="69" w:name="_Toc18672382"/>
      <w:r>
        <w:t>3.3.3</w:t>
      </w:r>
      <w:r>
        <w:tab/>
        <w:t>Genetic stability of the inserted gene</w:t>
      </w:r>
      <w:bookmarkEnd w:id="67"/>
      <w:bookmarkEnd w:id="68"/>
      <w:bookmarkEnd w:id="69"/>
    </w:p>
    <w:p w14:paraId="1B348372" w14:textId="19574EA3" w:rsidR="00343534" w:rsidRDefault="000A4A62" w:rsidP="000A4A62">
      <w:pPr>
        <w:rPr>
          <w:rFonts w:cs="Arial"/>
          <w:color w:val="000000" w:themeColor="text1"/>
        </w:rPr>
      </w:pPr>
      <w:r>
        <w:rPr>
          <w:rFonts w:cs="Arial"/>
          <w:color w:val="000000" w:themeColor="text1"/>
        </w:rPr>
        <w:t xml:space="preserve">A phenotypic analysis was performed </w:t>
      </w:r>
      <w:r w:rsidDel="00926FA9">
        <w:rPr>
          <w:rFonts w:cs="Arial"/>
          <w:color w:val="000000" w:themeColor="text1"/>
        </w:rPr>
        <w:t xml:space="preserve">over </w:t>
      </w:r>
      <w:r w:rsidR="0012120A">
        <w:rPr>
          <w:rFonts w:cs="Arial"/>
          <w:color w:val="000000" w:themeColor="text1"/>
        </w:rPr>
        <w:t>several</w:t>
      </w:r>
      <w:r>
        <w:rPr>
          <w:rFonts w:cs="Arial"/>
          <w:color w:val="000000" w:themeColor="text1"/>
        </w:rPr>
        <w:t xml:space="preserve"> fermentation </w:t>
      </w:r>
      <w:r w:rsidDel="00926FA9">
        <w:rPr>
          <w:rFonts w:cs="Arial"/>
          <w:color w:val="000000" w:themeColor="text1"/>
        </w:rPr>
        <w:t xml:space="preserve">runs </w:t>
      </w:r>
      <w:r>
        <w:rPr>
          <w:rFonts w:cs="Arial"/>
          <w:color w:val="000000" w:themeColor="text1"/>
        </w:rPr>
        <w:t xml:space="preserve">to show genetic stability of the production strain. Evidence from an activity assay, purity profile and </w:t>
      </w:r>
      <w:r w:rsidR="00926FA9">
        <w:rPr>
          <w:rFonts w:cs="Arial"/>
          <w:color w:val="000000" w:themeColor="text1"/>
        </w:rPr>
        <w:t xml:space="preserve">other </w:t>
      </w:r>
      <w:r w:rsidR="0012120A">
        <w:rPr>
          <w:rFonts w:cs="Arial"/>
          <w:color w:val="000000" w:themeColor="text1"/>
        </w:rPr>
        <w:t>analyses</w:t>
      </w:r>
      <w:r w:rsidR="00926FA9">
        <w:rPr>
          <w:rFonts w:cs="Arial"/>
          <w:color w:val="000000" w:themeColor="text1"/>
        </w:rPr>
        <w:t xml:space="preserve"> </w:t>
      </w:r>
      <w:r>
        <w:rPr>
          <w:rFonts w:cs="Arial"/>
          <w:color w:val="000000" w:themeColor="text1"/>
        </w:rPr>
        <w:t>of the enzyme preparation was consistent</w:t>
      </w:r>
      <w:r w:rsidDel="00926FA9">
        <w:rPr>
          <w:rFonts w:cs="Arial"/>
          <w:color w:val="000000" w:themeColor="text1"/>
        </w:rPr>
        <w:t xml:space="preserve"> across </w:t>
      </w:r>
      <w:r w:rsidR="0012120A">
        <w:rPr>
          <w:rFonts w:cs="Arial"/>
          <w:color w:val="000000" w:themeColor="text1"/>
        </w:rPr>
        <w:t>fermentation</w:t>
      </w:r>
      <w:r w:rsidDel="00926FA9">
        <w:rPr>
          <w:rFonts w:cs="Arial"/>
          <w:color w:val="000000" w:themeColor="text1"/>
        </w:rPr>
        <w:t xml:space="preserve"> runs</w:t>
      </w:r>
      <w:r>
        <w:rPr>
          <w:rFonts w:cs="Arial"/>
          <w:color w:val="000000" w:themeColor="text1"/>
        </w:rPr>
        <w:t>. The data show that the production strain is genetic</w:t>
      </w:r>
      <w:r w:rsidR="007F47FA">
        <w:rPr>
          <w:rFonts w:cs="Arial"/>
          <w:color w:val="000000" w:themeColor="text1"/>
        </w:rPr>
        <w:t>ally</w:t>
      </w:r>
      <w:r>
        <w:rPr>
          <w:rFonts w:cs="Arial"/>
          <w:color w:val="000000" w:themeColor="text1"/>
        </w:rPr>
        <w:t xml:space="preserve"> stable.</w:t>
      </w:r>
    </w:p>
    <w:p w14:paraId="4974D425" w14:textId="1D3690A9" w:rsidR="00343534" w:rsidRPr="00343534" w:rsidRDefault="00343534" w:rsidP="00F21A4E">
      <w:pPr>
        <w:pStyle w:val="Heading2"/>
      </w:pPr>
      <w:bookmarkStart w:id="70" w:name="_Toc53649919"/>
      <w:bookmarkStart w:id="71" w:name="_Toc71123623"/>
      <w:r w:rsidRPr="00343534">
        <w:lastRenderedPageBreak/>
        <w:t>3.4</w:t>
      </w:r>
      <w:r w:rsidR="006B7019">
        <w:tab/>
      </w:r>
      <w:r w:rsidRPr="00343534">
        <w:t>Safety of subtilisin</w:t>
      </w:r>
      <w:bookmarkEnd w:id="70"/>
      <w:bookmarkEnd w:id="71"/>
    </w:p>
    <w:p w14:paraId="64088418" w14:textId="30DDF715" w:rsidR="00343534" w:rsidRPr="00CF02D5" w:rsidRDefault="00CF02D5" w:rsidP="00CF02D5">
      <w:pPr>
        <w:pStyle w:val="Heading3"/>
      </w:pPr>
      <w:r w:rsidRPr="00CF02D5">
        <w:t>3.4.1</w:t>
      </w:r>
      <w:r w:rsidR="006B7019">
        <w:tab/>
      </w:r>
      <w:r w:rsidRPr="00CF02D5">
        <w:t>History of use</w:t>
      </w:r>
    </w:p>
    <w:p w14:paraId="14EEC5EF" w14:textId="3AE26207" w:rsidR="00C315E1" w:rsidRDefault="00C315E1" w:rsidP="003A0E60">
      <w:pPr>
        <w:widowControl/>
        <w:rPr>
          <w:rFonts w:eastAsiaTheme="minorHAnsi" w:cstheme="minorBidi"/>
          <w:szCs w:val="22"/>
          <w:lang w:val="en-US" w:eastAsia="en-AU" w:bidi="ar-SA"/>
        </w:rPr>
      </w:pPr>
      <w:r>
        <w:rPr>
          <w:rFonts w:eastAsiaTheme="minorHAnsi" w:cstheme="minorBidi"/>
          <w:szCs w:val="22"/>
          <w:lang w:val="en-US" w:eastAsia="en-AU" w:bidi="ar-SA"/>
        </w:rPr>
        <w:t>Subtilisin enzymes have a history of use in food in Australia and New Zealand, as well as overseas</w:t>
      </w:r>
      <w:r w:rsidR="001344B0">
        <w:rPr>
          <w:rFonts w:eastAsiaTheme="minorHAnsi" w:cstheme="minorBidi"/>
          <w:szCs w:val="22"/>
          <w:lang w:val="en-US" w:eastAsia="en-AU" w:bidi="ar-SA"/>
        </w:rPr>
        <w:t xml:space="preserve"> (</w:t>
      </w:r>
      <w:r w:rsidR="001344B0" w:rsidRPr="00F80A5B">
        <w:rPr>
          <w:rFonts w:eastAsiaTheme="minorHAnsi" w:cstheme="minorBidi"/>
          <w:szCs w:val="22"/>
          <w:lang w:val="en-US" w:eastAsia="en-AU" w:bidi="ar-SA"/>
        </w:rPr>
        <w:t>Pariza and Foster 1983; Pariza and Johnson 2001</w:t>
      </w:r>
      <w:r w:rsidR="001344B0">
        <w:rPr>
          <w:rFonts w:eastAsiaTheme="minorHAnsi" w:cstheme="minorBidi"/>
          <w:szCs w:val="22"/>
          <w:lang w:val="en-US" w:eastAsia="en-AU" w:bidi="ar-SA"/>
        </w:rPr>
        <w:t>)</w:t>
      </w:r>
      <w:r>
        <w:rPr>
          <w:rFonts w:eastAsiaTheme="minorHAnsi" w:cstheme="minorBidi"/>
          <w:szCs w:val="22"/>
          <w:lang w:val="en-US" w:eastAsia="en-AU" w:bidi="ar-SA"/>
        </w:rPr>
        <w:t xml:space="preserve">. </w:t>
      </w:r>
      <w:r w:rsidRPr="0081044E">
        <w:rPr>
          <w:lang w:eastAsia="en-AU" w:bidi="ar-SA"/>
        </w:rPr>
        <w:t>Serine proteinases of microbial origin</w:t>
      </w:r>
      <w:r w:rsidR="009B20E4">
        <w:rPr>
          <w:lang w:eastAsia="en-AU" w:bidi="ar-SA"/>
        </w:rPr>
        <w:t>, which include</w:t>
      </w:r>
      <w:r w:rsidR="00E34403">
        <w:rPr>
          <w:lang w:eastAsia="en-AU" w:bidi="ar-SA"/>
        </w:rPr>
        <w:t>s</w:t>
      </w:r>
      <w:r>
        <w:rPr>
          <w:lang w:eastAsia="en-AU" w:bidi="ar-SA"/>
        </w:rPr>
        <w:t xml:space="preserve"> subtilisin from</w:t>
      </w:r>
      <w:r w:rsidR="00680E94">
        <w:rPr>
          <w:lang w:eastAsia="en-AU" w:bidi="ar-SA"/>
        </w:rPr>
        <w:t xml:space="preserve"> a non-GM</w:t>
      </w:r>
      <w:r>
        <w:rPr>
          <w:lang w:eastAsia="en-AU" w:bidi="ar-SA"/>
        </w:rPr>
        <w:t xml:space="preserve"> </w:t>
      </w:r>
      <w:r w:rsidRPr="00C315E1">
        <w:rPr>
          <w:i/>
          <w:lang w:eastAsia="en-AU" w:bidi="ar-SA"/>
        </w:rPr>
        <w:t>B. licheniformis</w:t>
      </w:r>
      <w:r w:rsidR="009B20E4">
        <w:rPr>
          <w:lang w:eastAsia="en-AU" w:bidi="ar-SA"/>
        </w:rPr>
        <w:t>,</w:t>
      </w:r>
      <w:r w:rsidRPr="0081044E">
        <w:rPr>
          <w:lang w:eastAsia="en-AU" w:bidi="ar-SA"/>
        </w:rPr>
        <w:t xml:space="preserve"> are currently permitted enzymes in the Code</w:t>
      </w:r>
      <w:r>
        <w:rPr>
          <w:lang w:eastAsia="en-AU" w:bidi="ar-SA"/>
        </w:rPr>
        <w:t>.</w:t>
      </w:r>
      <w:r>
        <w:rPr>
          <w:rFonts w:eastAsiaTheme="minorHAnsi" w:cstheme="minorBidi"/>
          <w:szCs w:val="22"/>
          <w:lang w:val="en-US" w:eastAsia="en-AU" w:bidi="ar-SA"/>
        </w:rPr>
        <w:t xml:space="preserve"> The US FDA </w:t>
      </w:r>
      <w:r w:rsidR="00DA48E3">
        <w:rPr>
          <w:rFonts w:eastAsiaTheme="minorHAnsi" w:cstheme="minorBidi"/>
          <w:szCs w:val="22"/>
          <w:lang w:val="en-US" w:eastAsia="en-AU" w:bidi="ar-SA"/>
        </w:rPr>
        <w:t xml:space="preserve">has </w:t>
      </w:r>
      <w:r>
        <w:rPr>
          <w:rFonts w:eastAsiaTheme="minorHAnsi" w:cstheme="minorBidi"/>
          <w:szCs w:val="22"/>
          <w:lang w:val="en-US" w:eastAsia="en-AU" w:bidi="ar-SA"/>
        </w:rPr>
        <w:t xml:space="preserve">affirmed a protease enzyme preparation containing subtilisin obtained from </w:t>
      </w:r>
      <w:r w:rsidRPr="00C315E1">
        <w:rPr>
          <w:rFonts w:eastAsiaTheme="minorHAnsi" w:cstheme="minorBidi"/>
          <w:i/>
          <w:szCs w:val="22"/>
          <w:lang w:val="en-US" w:eastAsia="en-AU" w:bidi="ar-SA"/>
        </w:rPr>
        <w:t>B. subtilis</w:t>
      </w:r>
      <w:r>
        <w:rPr>
          <w:rFonts w:eastAsiaTheme="minorHAnsi" w:cstheme="minorBidi"/>
          <w:szCs w:val="22"/>
          <w:lang w:val="en-US" w:eastAsia="en-AU" w:bidi="ar-SA"/>
        </w:rPr>
        <w:t xml:space="preserve"> or </w:t>
      </w:r>
      <w:r w:rsidRPr="00C315E1">
        <w:rPr>
          <w:rFonts w:eastAsiaTheme="minorHAnsi" w:cstheme="minorBidi"/>
          <w:i/>
          <w:szCs w:val="22"/>
          <w:lang w:val="en-US" w:eastAsia="en-AU" w:bidi="ar-SA"/>
        </w:rPr>
        <w:t>B. amyloliquifaciens</w:t>
      </w:r>
      <w:r>
        <w:rPr>
          <w:rFonts w:eastAsiaTheme="minorHAnsi" w:cstheme="minorBidi"/>
          <w:szCs w:val="22"/>
          <w:lang w:val="en-US" w:eastAsia="en-AU" w:bidi="ar-SA"/>
        </w:rPr>
        <w:t xml:space="preserve"> as Generally </w:t>
      </w:r>
      <w:r w:rsidR="00DA48E3">
        <w:rPr>
          <w:rFonts w:eastAsiaTheme="minorHAnsi" w:cstheme="minorBidi"/>
          <w:szCs w:val="22"/>
          <w:lang w:val="en-US" w:eastAsia="en-AU" w:bidi="ar-SA"/>
        </w:rPr>
        <w:t>Recognized</w:t>
      </w:r>
      <w:r>
        <w:rPr>
          <w:rFonts w:eastAsiaTheme="minorHAnsi" w:cstheme="minorBidi"/>
          <w:szCs w:val="22"/>
          <w:lang w:val="en-US" w:eastAsia="en-AU" w:bidi="ar-SA"/>
        </w:rPr>
        <w:t xml:space="preserve"> as Safe (GRAS)</w:t>
      </w:r>
      <w:r w:rsidR="00A75434">
        <w:rPr>
          <w:rFonts w:eastAsiaTheme="minorHAnsi" w:cstheme="minorBidi"/>
          <w:szCs w:val="22"/>
          <w:lang w:val="en-US" w:eastAsia="en-AU" w:bidi="ar-SA"/>
        </w:rPr>
        <w:t>, based on a history of common use in food since before 1958</w:t>
      </w:r>
      <w:r>
        <w:rPr>
          <w:rFonts w:eastAsiaTheme="minorHAnsi" w:cstheme="minorBidi"/>
          <w:szCs w:val="22"/>
          <w:lang w:val="en-US" w:eastAsia="en-AU" w:bidi="ar-SA"/>
        </w:rPr>
        <w:t xml:space="preserve"> (</w:t>
      </w:r>
      <w:r w:rsidR="00B649CA" w:rsidRPr="00EE55D8">
        <w:rPr>
          <w:rFonts w:eastAsiaTheme="minorHAnsi" w:cstheme="minorBidi"/>
          <w:szCs w:val="22"/>
          <w:lang w:val="en-US" w:eastAsia="en-AU" w:bidi="ar-SA"/>
        </w:rPr>
        <w:t>Federal Register 1999)</w:t>
      </w:r>
      <w:r>
        <w:rPr>
          <w:rFonts w:eastAsiaTheme="minorHAnsi" w:cstheme="minorBidi"/>
          <w:szCs w:val="22"/>
          <w:lang w:val="en-US" w:eastAsia="en-AU" w:bidi="ar-SA"/>
        </w:rPr>
        <w:t xml:space="preserve">. </w:t>
      </w:r>
    </w:p>
    <w:p w14:paraId="7434D63F" w14:textId="77777777" w:rsidR="00C315E1" w:rsidRPr="00DF7711" w:rsidRDefault="00C315E1" w:rsidP="003A0E60">
      <w:pPr>
        <w:widowControl/>
        <w:rPr>
          <w:rFonts w:eastAsiaTheme="minorHAnsi" w:cstheme="minorBidi"/>
          <w:szCs w:val="22"/>
          <w:lang w:val="en-US" w:eastAsia="en-AU" w:bidi="ar-SA"/>
        </w:rPr>
      </w:pPr>
    </w:p>
    <w:p w14:paraId="49819F0B" w14:textId="1F512484" w:rsidR="003A0E60" w:rsidRDefault="003A0E60" w:rsidP="003A0E60">
      <w:pPr>
        <w:widowControl/>
        <w:rPr>
          <w:rFonts w:eastAsiaTheme="minorHAnsi" w:cstheme="minorBidi"/>
          <w:szCs w:val="22"/>
          <w:lang w:val="en-US" w:eastAsia="en-AU" w:bidi="ar-SA"/>
        </w:rPr>
      </w:pPr>
      <w:r>
        <w:rPr>
          <w:rFonts w:eastAsiaTheme="minorHAnsi" w:cstheme="minorBidi"/>
          <w:szCs w:val="22"/>
          <w:lang w:val="en-US" w:eastAsia="en-AU" w:bidi="ar-SA"/>
        </w:rPr>
        <w:t>The applicant provided a 13-week toxicity study</w:t>
      </w:r>
      <w:r w:rsidR="002B0D2B">
        <w:rPr>
          <w:rFonts w:eastAsiaTheme="minorHAnsi" w:cstheme="minorBidi"/>
          <w:szCs w:val="22"/>
          <w:lang w:val="en-US" w:eastAsia="en-AU" w:bidi="ar-SA"/>
        </w:rPr>
        <w:t xml:space="preserve"> in rats and </w:t>
      </w:r>
      <w:r w:rsidR="002B0D2B" w:rsidRPr="005D7C80">
        <w:rPr>
          <w:rFonts w:eastAsiaTheme="minorHAnsi" w:cstheme="minorBidi"/>
          <w:i/>
          <w:szCs w:val="22"/>
          <w:lang w:val="en-US" w:eastAsia="en-AU" w:bidi="ar-SA"/>
        </w:rPr>
        <w:t>in vitro</w:t>
      </w:r>
      <w:r w:rsidR="002B0D2B">
        <w:rPr>
          <w:rFonts w:eastAsiaTheme="minorHAnsi" w:cstheme="minorBidi"/>
          <w:szCs w:val="22"/>
          <w:lang w:val="en-US" w:eastAsia="en-AU" w:bidi="ar-SA"/>
        </w:rPr>
        <w:t xml:space="preserve"> genotoxicity studies</w:t>
      </w:r>
      <w:r>
        <w:rPr>
          <w:rFonts w:eastAsiaTheme="minorHAnsi" w:cstheme="minorBidi"/>
          <w:szCs w:val="22"/>
          <w:lang w:val="en-US" w:eastAsia="en-AU" w:bidi="ar-SA"/>
        </w:rPr>
        <w:t xml:space="preserve"> with an </w:t>
      </w:r>
      <w:r>
        <w:rPr>
          <w:rFonts w:eastAsiaTheme="minorHAnsi" w:cs="Arial"/>
          <w:szCs w:val="22"/>
          <w:lang w:val="en-US" w:eastAsia="en-AU" w:bidi="ar-SA"/>
        </w:rPr>
        <w:t>α</w:t>
      </w:r>
      <w:r>
        <w:rPr>
          <w:rFonts w:eastAsiaTheme="minorHAnsi" w:cstheme="minorBidi"/>
          <w:szCs w:val="22"/>
          <w:lang w:val="en-US" w:eastAsia="en-AU" w:bidi="ar-SA"/>
        </w:rPr>
        <w:t>-amylase</w:t>
      </w:r>
      <w:r w:rsidR="00327E9D">
        <w:rPr>
          <w:rFonts w:eastAsiaTheme="minorHAnsi" w:cstheme="minorBidi"/>
          <w:szCs w:val="22"/>
          <w:lang w:val="en-US" w:eastAsia="en-AU" w:bidi="ar-SA"/>
        </w:rPr>
        <w:t xml:space="preserve"> (</w:t>
      </w:r>
      <w:r w:rsidR="00327E9D" w:rsidRPr="00CA7900">
        <w:t>PPY34423</w:t>
      </w:r>
      <w:r w:rsidR="00327E9D">
        <w:rPr>
          <w:rFonts w:eastAsiaTheme="minorHAnsi" w:cstheme="minorBidi"/>
          <w:szCs w:val="22"/>
          <w:lang w:val="en-US" w:eastAsia="en-AU" w:bidi="ar-SA"/>
        </w:rPr>
        <w:t>)</w:t>
      </w:r>
      <w:r>
        <w:rPr>
          <w:rFonts w:eastAsiaTheme="minorHAnsi" w:cstheme="minorBidi"/>
          <w:szCs w:val="22"/>
          <w:lang w:val="en-US" w:eastAsia="en-AU" w:bidi="ar-SA"/>
        </w:rPr>
        <w:t xml:space="preserve"> produced by a closely related predecessor strain of the production strain. This</w:t>
      </w:r>
      <w:r w:rsidRPr="00476C76">
        <w:rPr>
          <w:rFonts w:eastAsiaTheme="minorHAnsi" w:cstheme="minorBidi"/>
          <w:szCs w:val="22"/>
          <w:lang w:val="en-US" w:eastAsia="en-AU" w:bidi="ar-SA"/>
        </w:rPr>
        <w:t xml:space="preserve"> </w:t>
      </w:r>
      <w:r>
        <w:rPr>
          <w:rFonts w:eastAsiaTheme="minorHAnsi" w:cs="Arial"/>
          <w:szCs w:val="22"/>
          <w:lang w:val="en-US" w:eastAsia="en-AU" w:bidi="ar-SA"/>
        </w:rPr>
        <w:t>α</w:t>
      </w:r>
      <w:r w:rsidRPr="00476C76">
        <w:rPr>
          <w:rFonts w:eastAsiaTheme="minorHAnsi" w:cstheme="minorBidi"/>
          <w:szCs w:val="22"/>
          <w:lang w:val="en-US" w:eastAsia="en-AU" w:bidi="ar-SA"/>
        </w:rPr>
        <w:t>-amylase was chosen as most appropriate</w:t>
      </w:r>
      <w:r>
        <w:rPr>
          <w:rFonts w:eastAsiaTheme="minorHAnsi" w:cstheme="minorBidi"/>
          <w:szCs w:val="22"/>
          <w:lang w:val="en-US" w:eastAsia="en-AU" w:bidi="ar-SA"/>
        </w:rPr>
        <w:t xml:space="preserve"> for </w:t>
      </w:r>
      <w:r w:rsidR="00B04D32">
        <w:rPr>
          <w:rFonts w:eastAsiaTheme="minorHAnsi" w:cstheme="minorBidi"/>
          <w:szCs w:val="22"/>
          <w:lang w:val="en-US" w:eastAsia="en-AU" w:bidi="ar-SA"/>
        </w:rPr>
        <w:t>assessment of</w:t>
      </w:r>
      <w:r>
        <w:rPr>
          <w:rFonts w:eastAsiaTheme="minorHAnsi" w:cstheme="minorBidi"/>
          <w:szCs w:val="22"/>
          <w:lang w:val="en-US" w:eastAsia="en-AU" w:bidi="ar-SA"/>
        </w:rPr>
        <w:t xml:space="preserve"> subtilisin</w:t>
      </w:r>
      <w:r w:rsidRPr="00476C76">
        <w:rPr>
          <w:rFonts w:eastAsiaTheme="minorHAnsi" w:cstheme="minorBidi"/>
          <w:szCs w:val="22"/>
          <w:lang w:val="en-US" w:eastAsia="en-AU" w:bidi="ar-SA"/>
        </w:rPr>
        <w:t>, because</w:t>
      </w:r>
      <w:r>
        <w:rPr>
          <w:rFonts w:eastAsiaTheme="minorHAnsi" w:cstheme="minorBidi"/>
          <w:szCs w:val="22"/>
          <w:lang w:val="en-US" w:eastAsia="en-AU" w:bidi="ar-SA"/>
        </w:rPr>
        <w:t xml:space="preserve"> t</w:t>
      </w:r>
      <w:r w:rsidRPr="00476C76">
        <w:rPr>
          <w:rFonts w:eastAsiaTheme="minorHAnsi" w:cstheme="minorBidi"/>
          <w:szCs w:val="22"/>
          <w:lang w:val="en-US" w:eastAsia="en-AU" w:bidi="ar-SA"/>
        </w:rPr>
        <w:t>he</w:t>
      </w:r>
      <w:r w:rsidR="009B20E4">
        <w:rPr>
          <w:rFonts w:eastAsiaTheme="minorHAnsi" w:cstheme="minorBidi"/>
          <w:szCs w:val="22"/>
          <w:lang w:val="en-US" w:eastAsia="en-AU" w:bidi="ar-SA"/>
        </w:rPr>
        <w:t xml:space="preserve"> recipient strain of the</w:t>
      </w:r>
      <w:r w:rsidRPr="00476C76">
        <w:rPr>
          <w:rFonts w:eastAsiaTheme="minorHAnsi" w:cstheme="minorBidi"/>
          <w:szCs w:val="22"/>
          <w:lang w:val="en-US" w:eastAsia="en-AU" w:bidi="ar-SA"/>
        </w:rPr>
        <w:t xml:space="preserve"> </w:t>
      </w:r>
      <w:r>
        <w:rPr>
          <w:rFonts w:eastAsiaTheme="minorHAnsi" w:cs="Arial"/>
          <w:szCs w:val="22"/>
          <w:lang w:val="en-US" w:eastAsia="en-AU" w:bidi="ar-SA"/>
        </w:rPr>
        <w:t>α</w:t>
      </w:r>
      <w:r w:rsidRPr="00476C76">
        <w:rPr>
          <w:rFonts w:eastAsiaTheme="minorHAnsi" w:cstheme="minorBidi"/>
          <w:szCs w:val="22"/>
          <w:lang w:val="en-US" w:eastAsia="en-AU" w:bidi="ar-SA"/>
        </w:rPr>
        <w:t xml:space="preserve">-amylase </w:t>
      </w:r>
      <w:r w:rsidR="00482C20">
        <w:rPr>
          <w:rFonts w:eastAsiaTheme="minorHAnsi" w:cstheme="minorBidi"/>
          <w:szCs w:val="22"/>
          <w:lang w:val="en-US" w:eastAsia="en-AU" w:bidi="ar-SA"/>
        </w:rPr>
        <w:t xml:space="preserve">production strain </w:t>
      </w:r>
      <w:r w:rsidRPr="00476C76">
        <w:rPr>
          <w:rFonts w:eastAsiaTheme="minorHAnsi" w:cstheme="minorBidi"/>
          <w:szCs w:val="22"/>
          <w:lang w:val="en-US" w:eastAsia="en-AU" w:bidi="ar-SA"/>
        </w:rPr>
        <w:t>is identical to the one for the subtilisin production strain</w:t>
      </w:r>
      <w:r>
        <w:rPr>
          <w:rFonts w:eastAsiaTheme="minorHAnsi" w:cstheme="minorBidi"/>
          <w:szCs w:val="22"/>
          <w:lang w:val="en-US" w:eastAsia="en-AU" w:bidi="ar-SA"/>
        </w:rPr>
        <w:t xml:space="preserve">, and the </w:t>
      </w:r>
      <w:r w:rsidRPr="00476C76">
        <w:rPr>
          <w:rFonts w:eastAsiaTheme="minorHAnsi" w:cstheme="minorBidi"/>
          <w:szCs w:val="22"/>
          <w:lang w:val="en-US" w:eastAsia="en-AU" w:bidi="ar-SA"/>
        </w:rPr>
        <w:t>method used to insert the DNA is identical to the one described for the construction of the subtilisin producti</w:t>
      </w:r>
      <w:r>
        <w:rPr>
          <w:rFonts w:eastAsiaTheme="minorHAnsi" w:cstheme="minorBidi"/>
          <w:szCs w:val="22"/>
          <w:lang w:val="en-US" w:eastAsia="en-AU" w:bidi="ar-SA"/>
        </w:rPr>
        <w:t>on strain</w:t>
      </w:r>
      <w:r w:rsidRPr="00D35739">
        <w:rPr>
          <w:rFonts w:eastAsiaTheme="minorHAnsi" w:cstheme="minorBidi"/>
          <w:szCs w:val="22"/>
          <w:lang w:val="en-US" w:eastAsia="en-AU" w:bidi="ar-SA"/>
        </w:rPr>
        <w:t>.</w:t>
      </w:r>
      <w:r>
        <w:rPr>
          <w:rFonts w:eastAsiaTheme="minorHAnsi" w:cstheme="minorBidi"/>
          <w:szCs w:val="22"/>
          <w:lang w:val="en-US" w:eastAsia="en-AU" w:bidi="ar-SA"/>
        </w:rPr>
        <w:t xml:space="preserve"> </w:t>
      </w:r>
    </w:p>
    <w:p w14:paraId="6D1D26A0" w14:textId="4884607C" w:rsidR="00B04D32" w:rsidRDefault="00B04D32" w:rsidP="003A0E60">
      <w:pPr>
        <w:widowControl/>
        <w:rPr>
          <w:rFonts w:eastAsiaTheme="minorHAnsi" w:cstheme="minorBidi"/>
          <w:szCs w:val="22"/>
          <w:lang w:val="en-US" w:eastAsia="en-AU" w:bidi="ar-SA"/>
        </w:rPr>
      </w:pPr>
    </w:p>
    <w:p w14:paraId="0CBF4D07" w14:textId="79DB4387" w:rsidR="003A0E60" w:rsidRDefault="00B04D32" w:rsidP="003A0E60">
      <w:pPr>
        <w:widowControl/>
        <w:rPr>
          <w:rFonts w:eastAsiaTheme="minorHAnsi" w:cstheme="minorBidi"/>
          <w:szCs w:val="22"/>
          <w:lang w:val="en-US" w:eastAsia="en-AU" w:bidi="ar-SA"/>
        </w:rPr>
      </w:pPr>
      <w:r w:rsidRPr="00B04D32">
        <w:rPr>
          <w:rFonts w:eastAsiaTheme="minorHAnsi" w:cstheme="minorBidi"/>
          <w:szCs w:val="22"/>
          <w:lang w:val="en-US" w:eastAsia="en-AU" w:bidi="ar-SA"/>
        </w:rPr>
        <w:t xml:space="preserve">The applicant </w:t>
      </w:r>
      <w:r>
        <w:rPr>
          <w:rFonts w:eastAsiaTheme="minorHAnsi" w:cstheme="minorBidi"/>
          <w:szCs w:val="22"/>
          <w:lang w:val="en-US" w:eastAsia="en-AU" w:bidi="ar-SA"/>
        </w:rPr>
        <w:t xml:space="preserve">also </w:t>
      </w:r>
      <w:r w:rsidRPr="00B04D32">
        <w:rPr>
          <w:rFonts w:eastAsiaTheme="minorHAnsi" w:cstheme="minorBidi"/>
          <w:szCs w:val="22"/>
          <w:lang w:val="en-US" w:eastAsia="en-AU" w:bidi="ar-SA"/>
        </w:rPr>
        <w:t xml:space="preserve">provided </w:t>
      </w:r>
      <w:r w:rsidR="00482C20">
        <w:rPr>
          <w:rFonts w:eastAsiaTheme="minorHAnsi" w:cstheme="minorBidi"/>
          <w:szCs w:val="22"/>
          <w:lang w:val="en-US" w:eastAsia="en-AU" w:bidi="ar-SA"/>
        </w:rPr>
        <w:t>sup</w:t>
      </w:r>
      <w:r>
        <w:rPr>
          <w:rFonts w:eastAsiaTheme="minorHAnsi" w:cstheme="minorBidi"/>
          <w:szCs w:val="22"/>
          <w:lang w:val="en-US" w:eastAsia="en-AU" w:bidi="ar-SA"/>
        </w:rPr>
        <w:t>p</w:t>
      </w:r>
      <w:r w:rsidR="00482C20">
        <w:rPr>
          <w:rFonts w:eastAsiaTheme="minorHAnsi" w:cstheme="minorBidi"/>
          <w:szCs w:val="22"/>
          <w:lang w:val="en-US" w:eastAsia="en-AU" w:bidi="ar-SA"/>
        </w:rPr>
        <w:t>o</w:t>
      </w:r>
      <w:r>
        <w:rPr>
          <w:rFonts w:eastAsiaTheme="minorHAnsi" w:cstheme="minorBidi"/>
          <w:szCs w:val="22"/>
          <w:lang w:val="en-US" w:eastAsia="en-AU" w:bidi="ar-SA"/>
        </w:rPr>
        <w:t xml:space="preserve">rting information consisting of </w:t>
      </w:r>
      <w:r w:rsidRPr="00B04D32">
        <w:rPr>
          <w:rFonts w:eastAsiaTheme="minorHAnsi" w:cstheme="minorBidi"/>
          <w:szCs w:val="22"/>
          <w:lang w:val="en-US" w:eastAsia="en-AU" w:bidi="ar-SA"/>
        </w:rPr>
        <w:t>a 14-day oral toxicity study in rats on subtilisin (</w:t>
      </w:r>
      <w:r w:rsidR="009B20E4">
        <w:rPr>
          <w:rFonts w:eastAsiaTheme="minorHAnsi" w:cstheme="minorBidi"/>
          <w:szCs w:val="22"/>
          <w:lang w:val="en-US" w:eastAsia="en-AU" w:bidi="ar-SA"/>
        </w:rPr>
        <w:t xml:space="preserve">batch </w:t>
      </w:r>
      <w:r w:rsidRPr="00B04D32">
        <w:rPr>
          <w:rFonts w:eastAsiaTheme="minorHAnsi" w:cstheme="minorBidi"/>
          <w:szCs w:val="22"/>
          <w:lang w:val="en-US" w:eastAsia="en-AU" w:bidi="ar-SA"/>
        </w:rPr>
        <w:t>PPA34557) produced by a host strain closely related to the production strain, and a bacterial reverse mutation assay on subtilisin (</w:t>
      </w:r>
      <w:r w:rsidR="00482C20">
        <w:rPr>
          <w:rFonts w:eastAsiaTheme="minorHAnsi" w:cstheme="minorBidi"/>
          <w:szCs w:val="22"/>
          <w:lang w:val="en-US" w:eastAsia="en-AU" w:bidi="ar-SA"/>
        </w:rPr>
        <w:t xml:space="preserve">batch </w:t>
      </w:r>
      <w:r w:rsidRPr="00B04D32">
        <w:rPr>
          <w:rFonts w:eastAsiaTheme="minorHAnsi" w:cstheme="minorBidi"/>
          <w:szCs w:val="22"/>
          <w:lang w:val="en-US" w:eastAsia="en-AU" w:bidi="ar-SA"/>
        </w:rPr>
        <w:t>PPA48131) produced by an optimised version of the strain used to produce batch PPA34557.</w:t>
      </w:r>
    </w:p>
    <w:p w14:paraId="7166FC4B" w14:textId="527F2499" w:rsidR="00CF02D5" w:rsidRDefault="00CF02D5" w:rsidP="00765302">
      <w:pPr>
        <w:pStyle w:val="Heading3"/>
      </w:pPr>
      <w:r>
        <w:t>3.4.2</w:t>
      </w:r>
      <w:r w:rsidR="006B7019">
        <w:tab/>
      </w:r>
      <w:r w:rsidR="00765302">
        <w:t>Bioinformatic assessment of enzyme toxicity</w:t>
      </w:r>
    </w:p>
    <w:p w14:paraId="00FC33DB" w14:textId="78BDA36B" w:rsidR="00EC4A88" w:rsidRDefault="00EC4A88" w:rsidP="00EC4A88">
      <w:r>
        <w:t>The amino acid sequence of subtilisin was compared to sequences present in the UniProt database (</w:t>
      </w:r>
      <w:hyperlink r:id="rId19" w:history="1">
        <w:r>
          <w:rPr>
            <w:rStyle w:val="Hyperlink"/>
          </w:rPr>
          <w:t>http://www.uniprot.org/</w:t>
        </w:r>
      </w:hyperlink>
      <w:r>
        <w:t>) containing entries from Swiss-Prot and TrEMBL and using the term ‘toxin’ to refine the search. The comparison method used a ClustalW 2.0.10 sequence alignment program (</w:t>
      </w:r>
      <w:hyperlink r:id="rId20" w:history="1">
        <w:r>
          <w:rPr>
            <w:rStyle w:val="Hyperlink"/>
          </w:rPr>
          <w:t>http://www.clustal.org/clustal2/</w:t>
        </w:r>
      </w:hyperlink>
      <w:r>
        <w:t xml:space="preserve">) (Larkin et al. 2007) to align each sequence from the database with the subtilisin sequence. </w:t>
      </w:r>
    </w:p>
    <w:p w14:paraId="5C2162C7" w14:textId="68F62583" w:rsidR="00765302" w:rsidRDefault="00765302" w:rsidP="000A4A62">
      <w:pPr>
        <w:rPr>
          <w:rFonts w:cs="Arial"/>
          <w:color w:val="000000" w:themeColor="text1"/>
        </w:rPr>
      </w:pPr>
    </w:p>
    <w:p w14:paraId="157F8A9E" w14:textId="29076006" w:rsidR="00EC4A88" w:rsidRDefault="00EC4A88" w:rsidP="00EC4A88">
      <w:r>
        <w:t xml:space="preserve">The greatest homology found was 18.7%, indicating that the subtilisin is unlikely to be toxigenic. </w:t>
      </w:r>
    </w:p>
    <w:p w14:paraId="1AFB7CBB" w14:textId="7AC23F8A" w:rsidR="00EC4A88" w:rsidRDefault="00EC4A88" w:rsidP="00EC4A88"/>
    <w:p w14:paraId="090C9C0E" w14:textId="2C4797BC" w:rsidR="00EC4A88" w:rsidRDefault="00EC4A88" w:rsidP="00EC4A88">
      <w:pPr>
        <w:rPr>
          <w:lang w:eastAsia="en-AU" w:bidi="ar-SA"/>
        </w:rPr>
      </w:pPr>
      <w:r>
        <w:rPr>
          <w:lang w:eastAsia="en-AU" w:bidi="ar-SA"/>
        </w:rPr>
        <w:t xml:space="preserve">Further evidence that the subtilisin is unlikely to be toxigenic comes from the absence of  cytotoxicity </w:t>
      </w:r>
      <w:r w:rsidR="002854A7">
        <w:rPr>
          <w:lang w:eastAsia="en-AU" w:bidi="ar-SA"/>
        </w:rPr>
        <w:t>of</w:t>
      </w:r>
      <w:r w:rsidR="00C63C6B">
        <w:rPr>
          <w:lang w:eastAsia="en-AU" w:bidi="ar-SA"/>
        </w:rPr>
        <w:t xml:space="preserve"> the parent</w:t>
      </w:r>
      <w:r>
        <w:rPr>
          <w:lang w:eastAsia="en-AU" w:bidi="ar-SA"/>
        </w:rPr>
        <w:t xml:space="preserve"> </w:t>
      </w:r>
      <w:r w:rsidR="002854A7">
        <w:rPr>
          <w:lang w:eastAsia="en-AU" w:bidi="ar-SA"/>
        </w:rPr>
        <w:t>strain and a predecessor strain</w:t>
      </w:r>
      <w:r w:rsidR="00C63C6B">
        <w:rPr>
          <w:lang w:eastAsia="en-AU" w:bidi="ar-SA"/>
        </w:rPr>
        <w:t xml:space="preserve"> of </w:t>
      </w:r>
      <w:r w:rsidR="00002ED1">
        <w:rPr>
          <w:lang w:eastAsia="en-AU" w:bidi="ar-SA"/>
        </w:rPr>
        <w:t xml:space="preserve">the production strain </w:t>
      </w:r>
      <w:r w:rsidR="002854A7">
        <w:rPr>
          <w:lang w:eastAsia="en-AU" w:bidi="ar-SA"/>
        </w:rPr>
        <w:t xml:space="preserve">in </w:t>
      </w:r>
      <w:r w:rsidR="001D2A39">
        <w:rPr>
          <w:lang w:eastAsia="en-AU" w:bidi="ar-SA"/>
        </w:rPr>
        <w:t>Vero cells, as discussed in section 3.2.1</w:t>
      </w:r>
      <w:r>
        <w:rPr>
          <w:lang w:eastAsia="en-AU" w:bidi="ar-SA"/>
        </w:rPr>
        <w:t xml:space="preserve">. </w:t>
      </w:r>
    </w:p>
    <w:p w14:paraId="4FF919AA" w14:textId="7DA526D6" w:rsidR="008563BB" w:rsidRDefault="008563BB" w:rsidP="008563BB">
      <w:pPr>
        <w:pStyle w:val="Heading3"/>
      </w:pPr>
      <w:r>
        <w:t>3.4.3</w:t>
      </w:r>
      <w:r w:rsidR="006B7019">
        <w:tab/>
      </w:r>
      <w:r>
        <w:t>Toxicology studies in animals</w:t>
      </w:r>
    </w:p>
    <w:p w14:paraId="3E97128B" w14:textId="6971E97B" w:rsidR="00723016" w:rsidRDefault="00723016" w:rsidP="00723016">
      <w:pPr>
        <w:pStyle w:val="Heading4"/>
        <w:rPr>
          <w:lang w:eastAsia="en-AU"/>
        </w:rPr>
      </w:pPr>
      <w:r>
        <w:rPr>
          <w:lang w:eastAsia="en-AU"/>
        </w:rPr>
        <w:t xml:space="preserve">Studies with </w:t>
      </w:r>
      <w:r>
        <w:rPr>
          <w:rFonts w:cs="Arial"/>
          <w:lang w:eastAsia="en-AU"/>
        </w:rPr>
        <w:t>α</w:t>
      </w:r>
      <w:r>
        <w:rPr>
          <w:lang w:eastAsia="en-AU"/>
        </w:rPr>
        <w:t>-amylase PPY34423</w:t>
      </w:r>
    </w:p>
    <w:p w14:paraId="44AF2AB3" w14:textId="77777777" w:rsidR="00723016" w:rsidRDefault="00723016" w:rsidP="00723016">
      <w:pPr>
        <w:pStyle w:val="Heading5"/>
        <w:rPr>
          <w:lang w:eastAsia="en-AU"/>
        </w:rPr>
      </w:pPr>
      <w:r>
        <w:rPr>
          <w:lang w:eastAsia="en-AU"/>
        </w:rPr>
        <w:t>13-week</w:t>
      </w:r>
      <w:r w:rsidRPr="0051636A">
        <w:rPr>
          <w:lang w:eastAsia="en-AU"/>
        </w:rPr>
        <w:t xml:space="preserve"> repeated dose oral toxicity study in ra</w:t>
      </w:r>
      <w:r>
        <w:rPr>
          <w:lang w:eastAsia="en-AU"/>
        </w:rPr>
        <w:t>ts (Huntingdon Life Sciences</w:t>
      </w:r>
      <w:r w:rsidRPr="0051636A">
        <w:rPr>
          <w:lang w:eastAsia="en-AU"/>
        </w:rPr>
        <w:t xml:space="preserve">, 2013). Regulatory status: GLP; </w:t>
      </w:r>
      <w:r>
        <w:rPr>
          <w:lang w:eastAsia="en-AU"/>
        </w:rPr>
        <w:t>conducted in accordance</w:t>
      </w:r>
      <w:r w:rsidRPr="0051636A">
        <w:rPr>
          <w:lang w:eastAsia="en-AU"/>
        </w:rPr>
        <w:t xml:space="preserve"> with OECD </w:t>
      </w:r>
      <w:r>
        <w:rPr>
          <w:lang w:eastAsia="en-AU"/>
        </w:rPr>
        <w:t>TG</w:t>
      </w:r>
      <w:r w:rsidRPr="0051636A">
        <w:rPr>
          <w:lang w:eastAsia="en-AU"/>
        </w:rPr>
        <w:t xml:space="preserve"> 408 (1998</w:t>
      </w:r>
      <w:r>
        <w:rPr>
          <w:lang w:eastAsia="en-AU"/>
        </w:rPr>
        <w:t>)</w:t>
      </w:r>
    </w:p>
    <w:p w14:paraId="0F05EFEB" w14:textId="0EB3DF70" w:rsidR="00723016" w:rsidRDefault="00723016" w:rsidP="00723016">
      <w:r>
        <w:t xml:space="preserve">The test item in this study was an amylase (batch number </w:t>
      </w:r>
      <w:r w:rsidRPr="00CA7900">
        <w:t>PPY34423</w:t>
      </w:r>
      <w:r>
        <w:t xml:space="preserve">) from </w:t>
      </w:r>
      <w:r w:rsidRPr="0051636A">
        <w:rPr>
          <w:i/>
        </w:rPr>
        <w:t>B. licheniformis</w:t>
      </w:r>
      <w:r>
        <w:t xml:space="preserve"> of the Si3 strain lineage. Sprague-Dawley [Crl:CD(SD)] rats (10/sex/group, 6-7 weeks old at the start of treatment) were administered amylase at doses of 0, 80, 263 or 796 mg/kg bw/day</w:t>
      </w:r>
      <w:r w:rsidR="005A205F">
        <w:t xml:space="preserve"> total organic solids</w:t>
      </w:r>
      <w:r>
        <w:t xml:space="preserve"> </w:t>
      </w:r>
      <w:r w:rsidR="005A205F">
        <w:t>(</w:t>
      </w:r>
      <w:r>
        <w:t>TOS</w:t>
      </w:r>
      <w:r w:rsidR="005A205F">
        <w:t>)</w:t>
      </w:r>
      <w:r>
        <w:t xml:space="preserve"> for 13 weeks. Clinical signs were monitored daily, with detailed physical examination and arena observations performed weekly. Sensory reactivity,  grip strength and motor activity were assessed in all animals in Study Week 12. Body weight and food consumption were recorded weekly. Animals in the control and high dose groups underwent ophthalmoscopy examinations in Week 12. Blood samples were collected from all animals in Week 13 for haematology and clinical chemistry analysis. Animals were subjected to detailed necropsy at the end of the study and organ weights were recorded. </w:t>
      </w:r>
      <w:r>
        <w:lastRenderedPageBreak/>
        <w:t xml:space="preserve">Histopathology investigations were performed on tissues from all animals in the control and high dose groups, and on any tissues from the mid and low dose groups in which abnormalities were observed. </w:t>
      </w:r>
    </w:p>
    <w:p w14:paraId="71D1CA82" w14:textId="77777777" w:rsidR="00723016" w:rsidRDefault="00723016" w:rsidP="00723016"/>
    <w:p w14:paraId="1852C9A7" w14:textId="373841CC" w:rsidR="00723016" w:rsidRDefault="00723016" w:rsidP="00723016">
      <w:r>
        <w:t xml:space="preserve">No deaths occurred during the study and no abnormal clinical signs were observed. There were no treatment related adverse effects on sensory activity, grip strength, motor activity, bodyweight gains, food consumption, ophthalmoscopy, haematology, blood chemistry, organ weights or macroscopic/microscopic pathology findings. </w:t>
      </w:r>
    </w:p>
    <w:p w14:paraId="3B0EB8DA" w14:textId="77777777" w:rsidR="00723016" w:rsidRDefault="00723016" w:rsidP="00723016"/>
    <w:p w14:paraId="3ED64AFA" w14:textId="0A7E9B07" w:rsidR="00723016" w:rsidRDefault="00723016" w:rsidP="00723016">
      <w:r>
        <w:t xml:space="preserve">The </w:t>
      </w:r>
      <w:r w:rsidR="005A205F">
        <w:t>no observed adverse effect level (</w:t>
      </w:r>
      <w:r>
        <w:t>NOAEL</w:t>
      </w:r>
      <w:r w:rsidR="005A205F">
        <w:t>)</w:t>
      </w:r>
      <w:r>
        <w:t xml:space="preserve"> in this study was 796 mg/kg bw/day TOS, the highest dose tested.</w:t>
      </w:r>
    </w:p>
    <w:p w14:paraId="4898892F" w14:textId="077C452E" w:rsidR="00C63C6B" w:rsidRDefault="00C63C6B" w:rsidP="008D4BE1">
      <w:pPr>
        <w:pStyle w:val="Heading4"/>
        <w:rPr>
          <w:lang w:eastAsia="en-AU"/>
        </w:rPr>
      </w:pPr>
      <w:r>
        <w:rPr>
          <w:lang w:eastAsia="en-AU"/>
        </w:rPr>
        <w:t xml:space="preserve">Studies with </w:t>
      </w:r>
      <w:r w:rsidR="008D4BE1" w:rsidRPr="00C63C6B">
        <w:rPr>
          <w:lang w:eastAsia="en-AU"/>
        </w:rPr>
        <w:t>PPA34557</w:t>
      </w:r>
      <w:r w:rsidR="00AB79BF">
        <w:rPr>
          <w:lang w:eastAsia="en-AU"/>
        </w:rPr>
        <w:t xml:space="preserve"> </w:t>
      </w:r>
      <w:r>
        <w:rPr>
          <w:lang w:eastAsia="en-AU"/>
        </w:rPr>
        <w:t>subtilisin</w:t>
      </w:r>
    </w:p>
    <w:p w14:paraId="77D78D42" w14:textId="4ACF8F58" w:rsidR="008D4BE1" w:rsidRDefault="008D4BE1" w:rsidP="008D4BE1">
      <w:pPr>
        <w:pStyle w:val="Heading5"/>
        <w:rPr>
          <w:lang w:eastAsia="en-AU"/>
        </w:rPr>
      </w:pPr>
      <w:r w:rsidRPr="008D4BE1">
        <w:rPr>
          <w:lang w:eastAsia="en-AU"/>
        </w:rPr>
        <w:t>14-day repeated dose oral toxicity study in rats (Jai</w:t>
      </w:r>
      <w:r w:rsidR="000D5094">
        <w:rPr>
          <w:lang w:eastAsia="en-AU"/>
        </w:rPr>
        <w:t xml:space="preserve"> Research Foundation</w:t>
      </w:r>
      <w:r w:rsidRPr="008D4BE1">
        <w:rPr>
          <w:lang w:eastAsia="en-AU"/>
        </w:rPr>
        <w:t>, 2013). Regulatory status: GLP; study design based on OECD</w:t>
      </w:r>
      <w:r w:rsidR="00CA7900">
        <w:rPr>
          <w:lang w:eastAsia="en-AU"/>
        </w:rPr>
        <w:t xml:space="preserve"> Test</w:t>
      </w:r>
      <w:r w:rsidRPr="008D4BE1">
        <w:rPr>
          <w:lang w:eastAsia="en-AU"/>
        </w:rPr>
        <w:t xml:space="preserve"> Guideline</w:t>
      </w:r>
      <w:r w:rsidR="00CA7900">
        <w:rPr>
          <w:lang w:eastAsia="en-AU"/>
        </w:rPr>
        <w:t xml:space="preserve"> (TG)</w:t>
      </w:r>
      <w:r w:rsidRPr="008D4BE1">
        <w:rPr>
          <w:lang w:eastAsia="en-AU"/>
        </w:rPr>
        <w:t xml:space="preserve"> 407 (2008)</w:t>
      </w:r>
    </w:p>
    <w:p w14:paraId="59E80B61" w14:textId="42C6D415" w:rsidR="008D4BE1" w:rsidRDefault="008D4BE1" w:rsidP="008D4BE1">
      <w:pPr>
        <w:rPr>
          <w:lang w:val="en-US" w:bidi="ar-SA"/>
        </w:rPr>
      </w:pPr>
      <w:r>
        <w:rPr>
          <w:lang w:val="en-AU" w:eastAsia="en-AU"/>
        </w:rPr>
        <w:t>The test item in this study was subtilisin</w:t>
      </w:r>
      <w:r w:rsidR="00327E9D">
        <w:rPr>
          <w:lang w:val="en-AU" w:eastAsia="en-AU"/>
        </w:rPr>
        <w:t xml:space="preserve"> (batch number PPA34557)</w:t>
      </w:r>
      <w:r>
        <w:rPr>
          <w:lang w:val="en-AU" w:eastAsia="en-AU"/>
        </w:rPr>
        <w:t xml:space="preserve"> from </w:t>
      </w:r>
      <w:r>
        <w:rPr>
          <w:i/>
          <w:lang w:val="en-AU" w:eastAsia="en-AU"/>
        </w:rPr>
        <w:t>B</w:t>
      </w:r>
      <w:r>
        <w:rPr>
          <w:i/>
          <w:iCs/>
          <w:lang w:val="en-AU" w:eastAsia="en-AU"/>
        </w:rPr>
        <w:t>. licheniformis</w:t>
      </w:r>
      <w:r>
        <w:rPr>
          <w:iCs/>
          <w:lang w:val="en-AU" w:eastAsia="en-AU"/>
        </w:rPr>
        <w:t xml:space="preserve"> of the Si3 strain lineage</w:t>
      </w:r>
      <w:r>
        <w:rPr>
          <w:lang w:val="en-AU" w:eastAsia="en-AU"/>
        </w:rPr>
        <w:t xml:space="preserve">. Wistar rats of the RccHan: WIST </w:t>
      </w:r>
      <w:r>
        <w:rPr>
          <w:lang w:val="en-US" w:bidi="ar-SA"/>
        </w:rPr>
        <w:t xml:space="preserve">strain (5/sex/group, 8-9 weeks old at the start of treatment) were administered </w:t>
      </w:r>
      <w:r w:rsidR="00327E9D">
        <w:rPr>
          <w:lang w:val="en-US" w:bidi="ar-SA"/>
        </w:rPr>
        <w:t xml:space="preserve">subtilisin </w:t>
      </w:r>
      <w:r>
        <w:rPr>
          <w:lang w:val="en-US" w:bidi="ar-SA"/>
        </w:rPr>
        <w:t>PPA43557</w:t>
      </w:r>
      <w:r w:rsidR="00232978">
        <w:rPr>
          <w:lang w:val="en-US" w:bidi="ar-SA"/>
        </w:rPr>
        <w:t xml:space="preserve"> by oral gavage</w:t>
      </w:r>
      <w:r>
        <w:rPr>
          <w:lang w:val="en-US" w:bidi="ar-SA"/>
        </w:rPr>
        <w:t xml:space="preserve"> at doses of 0, 103.2, 340.5 or 1032 mg/kg bw/day TOS. The vehicle and negative control was reverse-osmosis water. Clinical signs were monitored daily. Bodyweight and food consumption were recorded twice weekly. Blood was collected from all animals at termination on Day 15, the samples were evaluated for haematology (including assessment of coagulation factors) and clinical chemistry. At necropsy a macroscopic examination</w:t>
      </w:r>
      <w:r w:rsidR="00232978">
        <w:rPr>
          <w:lang w:val="en-US" w:bidi="ar-SA"/>
        </w:rPr>
        <w:t xml:space="preserve"> was performed and</w:t>
      </w:r>
      <w:r>
        <w:rPr>
          <w:lang w:val="en-US" w:bidi="ar-SA"/>
        </w:rPr>
        <w:t xml:space="preserve"> selected organ weights were recorded. </w:t>
      </w:r>
      <w:r w:rsidR="00232978">
        <w:rPr>
          <w:lang w:val="en-US" w:bidi="ar-SA"/>
        </w:rPr>
        <w:t>Urinalysis was not performed and n</w:t>
      </w:r>
      <w:r>
        <w:rPr>
          <w:lang w:val="en-US" w:bidi="ar-SA"/>
        </w:rPr>
        <w:t xml:space="preserve">o tissues were preserved for histopathological examination. </w:t>
      </w:r>
    </w:p>
    <w:p w14:paraId="36097D6D" w14:textId="77777777" w:rsidR="008D4BE1" w:rsidRDefault="008D4BE1" w:rsidP="008D4BE1">
      <w:pPr>
        <w:rPr>
          <w:lang w:val="en-AU" w:eastAsia="en-AU"/>
        </w:rPr>
      </w:pPr>
    </w:p>
    <w:p w14:paraId="33462000" w14:textId="77777777" w:rsidR="008D4BE1" w:rsidRDefault="008D4BE1" w:rsidP="008D4BE1">
      <w:pPr>
        <w:rPr>
          <w:lang w:val="en-US" w:bidi="ar-SA"/>
        </w:rPr>
      </w:pPr>
      <w:r>
        <w:rPr>
          <w:lang w:val="en-US" w:bidi="ar-SA"/>
        </w:rPr>
        <w:t xml:space="preserve">There were no deaths, no abnormal clinical signs, and no toxicologically important effects on  bodyweight gains, food consumption, haematology, blood chemistry, organ weights or gross pathology findings. </w:t>
      </w:r>
    </w:p>
    <w:p w14:paraId="24467EC9" w14:textId="77777777" w:rsidR="008D4BE1" w:rsidRDefault="008D4BE1" w:rsidP="008D4BE1">
      <w:pPr>
        <w:rPr>
          <w:lang w:val="en-US" w:bidi="ar-SA"/>
        </w:rPr>
      </w:pPr>
    </w:p>
    <w:p w14:paraId="3F7AB63E" w14:textId="76912BE1" w:rsidR="008D4BE1" w:rsidRDefault="008D4BE1" w:rsidP="008D4BE1">
      <w:pPr>
        <w:rPr>
          <w:lang w:val="en-US" w:bidi="ar-SA"/>
        </w:rPr>
      </w:pPr>
      <w:r>
        <w:rPr>
          <w:lang w:val="en-US" w:bidi="ar-SA"/>
        </w:rPr>
        <w:t xml:space="preserve">The NOAEL in this study was 1032 mg/kg bw/day TOS, the highest dose tested. </w:t>
      </w:r>
    </w:p>
    <w:p w14:paraId="460A09BA" w14:textId="72F2AFAC" w:rsidR="00EC4A88" w:rsidRDefault="00AB79BF" w:rsidP="00AB79BF">
      <w:pPr>
        <w:pStyle w:val="Heading3"/>
      </w:pPr>
      <w:r>
        <w:t>3.4.4</w:t>
      </w:r>
      <w:r w:rsidR="006B7019">
        <w:tab/>
      </w:r>
      <w:r>
        <w:t>Genotoxicity assays</w:t>
      </w:r>
    </w:p>
    <w:p w14:paraId="70E8B2C1" w14:textId="5C397983" w:rsidR="00723016" w:rsidRDefault="00723016" w:rsidP="00723016">
      <w:pPr>
        <w:pStyle w:val="Heading4"/>
      </w:pPr>
      <w:r>
        <w:t>Studies with α-amylase PPY34423</w:t>
      </w:r>
    </w:p>
    <w:p w14:paraId="2A1E9CC3" w14:textId="77777777" w:rsidR="00723016" w:rsidRDefault="00723016" w:rsidP="00723016">
      <w:pPr>
        <w:rPr>
          <w:i/>
          <w:lang w:val="en-AU" w:eastAsia="en-AU"/>
        </w:rPr>
      </w:pPr>
      <w:r>
        <w:rPr>
          <w:i/>
          <w:lang w:val="en-AU" w:eastAsia="en-AU"/>
        </w:rPr>
        <w:t>Bacterial reverse mutation assay using a treat and plate modification (Novozymes, 2013) Regulatory status: GLP; in accordance with OECD Guideline 471 (1997).</w:t>
      </w:r>
    </w:p>
    <w:p w14:paraId="7370A80C" w14:textId="77777777" w:rsidR="00723016" w:rsidRDefault="00723016" w:rsidP="00723016">
      <w:pPr>
        <w:rPr>
          <w:i/>
          <w:lang w:val="en-AU" w:eastAsia="en-AU"/>
        </w:rPr>
      </w:pPr>
    </w:p>
    <w:p w14:paraId="43EBD1F0" w14:textId="77777777" w:rsidR="00723016" w:rsidRDefault="00723016" w:rsidP="00723016">
      <w:pPr>
        <w:rPr>
          <w:highlight w:val="yellow"/>
          <w:lang w:eastAsia="en-AU" w:bidi="ar-SA"/>
        </w:rPr>
      </w:pPr>
      <w:r>
        <w:rPr>
          <w:lang w:val="en-AU" w:eastAsia="en-AU"/>
        </w:rPr>
        <w:t xml:space="preserve">The test item in this study was </w:t>
      </w:r>
      <w:r>
        <w:rPr>
          <w:rFonts w:cs="Arial"/>
          <w:lang w:val="en-AU" w:eastAsia="en-AU"/>
        </w:rPr>
        <w:t xml:space="preserve">an </w:t>
      </w:r>
      <w:r>
        <w:rPr>
          <w:lang w:val="en-AU" w:eastAsia="en-AU"/>
        </w:rPr>
        <w:t xml:space="preserve">amylase from </w:t>
      </w:r>
      <w:r>
        <w:rPr>
          <w:i/>
          <w:lang w:val="en-AU" w:eastAsia="en-AU"/>
        </w:rPr>
        <w:t>B</w:t>
      </w:r>
      <w:r>
        <w:rPr>
          <w:i/>
          <w:iCs/>
          <w:lang w:val="en-AU" w:eastAsia="en-AU"/>
        </w:rPr>
        <w:t>. licheniformis</w:t>
      </w:r>
      <w:r w:rsidRPr="00DB50FB">
        <w:rPr>
          <w:iCs/>
          <w:lang w:val="en-AU" w:eastAsia="en-AU"/>
        </w:rPr>
        <w:t xml:space="preserve"> of </w:t>
      </w:r>
      <w:r w:rsidRPr="00075FC4">
        <w:rPr>
          <w:iCs/>
          <w:lang w:val="en-AU" w:eastAsia="en-AU"/>
        </w:rPr>
        <w:t>the Si3</w:t>
      </w:r>
      <w:r>
        <w:rPr>
          <w:iCs/>
          <w:lang w:val="en-AU" w:eastAsia="en-AU"/>
        </w:rPr>
        <w:t xml:space="preserve"> </w:t>
      </w:r>
      <w:r w:rsidRPr="006B3356">
        <w:rPr>
          <w:iCs/>
          <w:lang w:val="en-AU" w:eastAsia="en-AU"/>
        </w:rPr>
        <w:t>strain lin</w:t>
      </w:r>
      <w:r>
        <w:rPr>
          <w:iCs/>
          <w:lang w:val="en-AU" w:eastAsia="en-AU"/>
        </w:rPr>
        <w:t>e</w:t>
      </w:r>
      <w:r w:rsidRPr="006B3356">
        <w:rPr>
          <w:iCs/>
          <w:lang w:val="en-AU" w:eastAsia="en-AU"/>
        </w:rPr>
        <w:t>age</w:t>
      </w:r>
      <w:r>
        <w:rPr>
          <w:iCs/>
          <w:lang w:val="en-AU" w:eastAsia="en-AU"/>
        </w:rPr>
        <w:t xml:space="preserve"> (</w:t>
      </w:r>
      <w:r>
        <w:t xml:space="preserve">batch number </w:t>
      </w:r>
      <w:r w:rsidRPr="00CA7900">
        <w:t>PPY34423</w:t>
      </w:r>
      <w:r>
        <w:rPr>
          <w:iCs/>
          <w:lang w:val="en-AU" w:eastAsia="en-AU"/>
        </w:rPr>
        <w:t>)</w:t>
      </w:r>
      <w:r>
        <w:rPr>
          <w:lang w:val="en-AU" w:eastAsia="en-AU"/>
        </w:rPr>
        <w:t xml:space="preserve">. </w:t>
      </w:r>
      <w:r>
        <w:rPr>
          <w:lang w:eastAsia="en-AU" w:bidi="ar-SA"/>
        </w:rPr>
        <w:t xml:space="preserve">Test concentrations were reported in terms of dry matter of the test item. The vehicle and negative control was water. Test systems for the assay were </w:t>
      </w:r>
      <w:r>
        <w:rPr>
          <w:i/>
          <w:lang w:eastAsia="en-AU" w:bidi="ar-SA"/>
        </w:rPr>
        <w:t>S. typhimurium</w:t>
      </w:r>
      <w:r>
        <w:rPr>
          <w:lang w:eastAsia="en-AU" w:bidi="ar-SA"/>
        </w:rPr>
        <w:t xml:space="preserve"> strains TA100, TA98, TA1537, TA1535 and </w:t>
      </w:r>
      <w:r>
        <w:rPr>
          <w:i/>
          <w:lang w:eastAsia="en-AU"/>
        </w:rPr>
        <w:t>E. coli</w:t>
      </w:r>
      <w:r>
        <w:rPr>
          <w:lang w:eastAsia="en-AU"/>
        </w:rPr>
        <w:t xml:space="preserve"> WP2</w:t>
      </w:r>
      <w:r>
        <w:rPr>
          <w:i/>
          <w:lang w:eastAsia="en-AU"/>
        </w:rPr>
        <w:t>uvr</w:t>
      </w:r>
      <w:r>
        <w:rPr>
          <w:lang w:eastAsia="en-AU"/>
        </w:rPr>
        <w:t>A pKM101</w:t>
      </w:r>
      <w:r>
        <w:rPr>
          <w:lang w:eastAsia="en-AU" w:bidi="ar-SA"/>
        </w:rPr>
        <w:t xml:space="preserve">. Concentrations of 156, 313, 625, 1250, 2500 and 5000 </w:t>
      </w:r>
      <w:r>
        <w:rPr>
          <w:rFonts w:cs="Arial"/>
          <w:lang w:eastAsia="en-AU" w:bidi="ar-SA"/>
        </w:rPr>
        <w:t>µ</w:t>
      </w:r>
      <w:r>
        <w:rPr>
          <w:lang w:eastAsia="en-AU" w:bidi="ar-SA"/>
        </w:rPr>
        <w:t xml:space="preserve">g/plate amylase were used in both independent main tests, which were conducted following the ‘treat and plate’ method. Both tests were conducted in the presence and absence of metabolic activation (S9 mix). All assays were conducted in triplicate. </w:t>
      </w:r>
    </w:p>
    <w:p w14:paraId="48E1CE83" w14:textId="77777777" w:rsidR="00723016" w:rsidRDefault="00723016" w:rsidP="00723016">
      <w:pPr>
        <w:rPr>
          <w:lang w:eastAsia="en-AU"/>
        </w:rPr>
      </w:pPr>
    </w:p>
    <w:p w14:paraId="19BC47C4" w14:textId="77777777" w:rsidR="00723016" w:rsidRDefault="00723016" w:rsidP="00723016">
      <w:pPr>
        <w:rPr>
          <w:lang w:eastAsia="en-AU"/>
        </w:rPr>
      </w:pPr>
      <w:r>
        <w:rPr>
          <w:lang w:eastAsia="en-AU"/>
        </w:rPr>
        <w:t xml:space="preserve">There was no evidence of mutagenicity, cytotoxicity or precipitation at any of the dose levels investigated. </w:t>
      </w:r>
      <w:r>
        <w:rPr>
          <w:lang w:eastAsia="en-AU" w:bidi="ar-SA"/>
        </w:rPr>
        <w:t xml:space="preserve">Results obtained with the negative and positive controls were compatible with historical control values for the laboratory, confirming the validity of the assays. </w:t>
      </w:r>
      <w:r>
        <w:rPr>
          <w:lang w:eastAsia="en-AU"/>
        </w:rPr>
        <w:t xml:space="preserve">It was concluded that the amylase was not mutagenic under the conditions of the study. </w:t>
      </w:r>
    </w:p>
    <w:p w14:paraId="55FD389F" w14:textId="77777777" w:rsidR="00C76331" w:rsidRDefault="00C76331">
      <w:pPr>
        <w:widowControl/>
        <w:rPr>
          <w:i/>
          <w:szCs w:val="22"/>
          <w:lang w:eastAsia="en-AU" w:bidi="ar-SA"/>
        </w:rPr>
      </w:pPr>
      <w:r>
        <w:rPr>
          <w:lang w:eastAsia="en-AU"/>
        </w:rPr>
        <w:br w:type="page"/>
      </w:r>
    </w:p>
    <w:p w14:paraId="6719EB50" w14:textId="732B0F77" w:rsidR="00723016" w:rsidRDefault="00723016" w:rsidP="00723016">
      <w:pPr>
        <w:pStyle w:val="Heading5"/>
        <w:rPr>
          <w:lang w:eastAsia="en-AU"/>
        </w:rPr>
      </w:pPr>
      <w:r>
        <w:rPr>
          <w:lang w:eastAsia="en-AU"/>
        </w:rPr>
        <w:lastRenderedPageBreak/>
        <w:t>Micronucleus test in cultured human lymphocytes (Covance Laboratories 2013) Regulatory status: GLP; conducted in accordance with OECD TG 487 (2010).</w:t>
      </w:r>
    </w:p>
    <w:p w14:paraId="68655658" w14:textId="77777777" w:rsidR="00723016" w:rsidRPr="00206383" w:rsidRDefault="00723016" w:rsidP="00723016">
      <w:pPr>
        <w:widowControl/>
        <w:rPr>
          <w:rFonts w:eastAsiaTheme="minorHAnsi" w:cstheme="minorBidi"/>
          <w:szCs w:val="22"/>
          <w:lang w:bidi="ar-SA"/>
        </w:rPr>
      </w:pPr>
      <w:r>
        <w:rPr>
          <w:rFonts w:eastAsiaTheme="minorHAnsi" w:cstheme="minorBidi"/>
          <w:szCs w:val="22"/>
          <w:lang w:bidi="ar-SA"/>
        </w:rPr>
        <w:t>The test item</w:t>
      </w:r>
      <w:r w:rsidRPr="00206383">
        <w:rPr>
          <w:rFonts w:eastAsiaTheme="minorHAnsi" w:cstheme="minorBidi"/>
          <w:szCs w:val="22"/>
          <w:lang w:bidi="ar-SA"/>
        </w:rPr>
        <w:t xml:space="preserve"> was</w:t>
      </w:r>
      <w:r>
        <w:rPr>
          <w:rFonts w:eastAsiaTheme="minorHAnsi" w:cstheme="minorBidi"/>
          <w:szCs w:val="22"/>
          <w:lang w:bidi="ar-SA"/>
        </w:rPr>
        <w:t xml:space="preserve"> an amylase </w:t>
      </w:r>
      <w:r>
        <w:rPr>
          <w:lang w:val="en-AU" w:eastAsia="en-AU"/>
        </w:rPr>
        <w:t xml:space="preserve">from </w:t>
      </w:r>
      <w:r>
        <w:rPr>
          <w:i/>
          <w:lang w:val="en-AU" w:eastAsia="en-AU"/>
        </w:rPr>
        <w:t>B</w:t>
      </w:r>
      <w:r>
        <w:rPr>
          <w:i/>
          <w:iCs/>
          <w:lang w:val="en-AU" w:eastAsia="en-AU"/>
        </w:rPr>
        <w:t>. licheniformis</w:t>
      </w:r>
      <w:r w:rsidRPr="00DB50FB">
        <w:rPr>
          <w:iCs/>
          <w:lang w:val="en-AU" w:eastAsia="en-AU"/>
        </w:rPr>
        <w:t xml:space="preserve"> </w:t>
      </w:r>
      <w:r>
        <w:rPr>
          <w:iCs/>
          <w:lang w:val="en-AU" w:eastAsia="en-AU"/>
        </w:rPr>
        <w:t>(</w:t>
      </w:r>
      <w:r>
        <w:t xml:space="preserve">batch number </w:t>
      </w:r>
      <w:r w:rsidRPr="00CA7900">
        <w:t>PPY34423</w:t>
      </w:r>
      <w:r>
        <w:rPr>
          <w:iCs/>
          <w:lang w:val="en-AU" w:eastAsia="en-AU"/>
        </w:rPr>
        <w:t xml:space="preserve">) </w:t>
      </w:r>
      <w:r w:rsidRPr="00DB50FB">
        <w:rPr>
          <w:iCs/>
          <w:lang w:val="en-AU" w:eastAsia="en-AU"/>
        </w:rPr>
        <w:t>of the</w:t>
      </w:r>
      <w:r>
        <w:rPr>
          <w:i/>
          <w:iCs/>
          <w:lang w:val="en-AU" w:eastAsia="en-AU"/>
        </w:rPr>
        <w:t xml:space="preserve"> </w:t>
      </w:r>
      <w:r>
        <w:rPr>
          <w:iCs/>
          <w:lang w:val="en-AU" w:eastAsia="en-AU"/>
        </w:rPr>
        <w:t xml:space="preserve">Si3 </w:t>
      </w:r>
      <w:r w:rsidRPr="006B3356">
        <w:rPr>
          <w:iCs/>
          <w:lang w:val="en-AU" w:eastAsia="en-AU"/>
        </w:rPr>
        <w:t>strain lin</w:t>
      </w:r>
      <w:r>
        <w:rPr>
          <w:iCs/>
          <w:lang w:val="en-AU" w:eastAsia="en-AU"/>
        </w:rPr>
        <w:t>e</w:t>
      </w:r>
      <w:r w:rsidRPr="006B3356">
        <w:rPr>
          <w:iCs/>
          <w:lang w:val="en-AU" w:eastAsia="en-AU"/>
        </w:rPr>
        <w:t>age</w:t>
      </w:r>
      <w:r>
        <w:rPr>
          <w:iCs/>
          <w:lang w:val="en-AU" w:eastAsia="en-AU"/>
        </w:rPr>
        <w:t xml:space="preserve"> </w:t>
      </w:r>
      <w:r w:rsidRPr="00206383">
        <w:rPr>
          <w:rFonts w:eastAsiaTheme="minorHAnsi" w:cstheme="minorBidi"/>
          <w:szCs w:val="22"/>
          <w:lang w:bidi="ar-SA"/>
        </w:rPr>
        <w:t>and the vehicle control was</w:t>
      </w:r>
      <w:r>
        <w:rPr>
          <w:rFonts w:eastAsiaTheme="minorHAnsi" w:cstheme="minorBidi"/>
          <w:szCs w:val="22"/>
          <w:lang w:bidi="ar-SA"/>
        </w:rPr>
        <w:t xml:space="preserve"> water. T</w:t>
      </w:r>
      <w:r w:rsidRPr="00206383">
        <w:rPr>
          <w:rFonts w:eastAsiaTheme="minorHAnsi" w:cstheme="minorBidi"/>
          <w:szCs w:val="22"/>
          <w:lang w:bidi="ar-SA"/>
        </w:rPr>
        <w:t>he test system comprised human peripheral bl</w:t>
      </w:r>
      <w:r w:rsidRPr="009D6C8D">
        <w:rPr>
          <w:rFonts w:eastAsiaTheme="minorHAnsi" w:cstheme="minorBidi"/>
          <w:szCs w:val="22"/>
          <w:lang w:bidi="ar-SA"/>
        </w:rPr>
        <w:t>ood lymphocytes collected from two</w:t>
      </w:r>
      <w:r w:rsidRPr="00206383">
        <w:rPr>
          <w:rFonts w:eastAsiaTheme="minorHAnsi" w:cstheme="minorBidi"/>
          <w:szCs w:val="22"/>
          <w:lang w:bidi="ar-SA"/>
        </w:rPr>
        <w:t xml:space="preserve"> healthy non-smoking donor</w:t>
      </w:r>
      <w:r w:rsidRPr="009D6C8D">
        <w:rPr>
          <w:rFonts w:eastAsiaTheme="minorHAnsi" w:cstheme="minorBidi"/>
          <w:szCs w:val="22"/>
          <w:lang w:bidi="ar-SA"/>
        </w:rPr>
        <w:t>s</w:t>
      </w:r>
      <w:r w:rsidRPr="00206383">
        <w:rPr>
          <w:rFonts w:eastAsiaTheme="minorHAnsi" w:cstheme="minorBidi"/>
          <w:szCs w:val="22"/>
          <w:lang w:bidi="ar-SA"/>
        </w:rPr>
        <w:t xml:space="preserve"> with no known recent exposure to genotoxic chemicals and radiation</w:t>
      </w:r>
      <w:r w:rsidRPr="009D6C8D">
        <w:rPr>
          <w:rFonts w:eastAsiaTheme="minorHAnsi" w:cstheme="minorBidi"/>
          <w:szCs w:val="22"/>
          <w:lang w:bidi="ar-SA"/>
        </w:rPr>
        <w:t>.</w:t>
      </w:r>
      <w:r w:rsidRPr="00206383">
        <w:rPr>
          <w:rFonts w:eastAsiaTheme="minorHAnsi" w:cstheme="minorBidi"/>
          <w:szCs w:val="22"/>
          <w:lang w:bidi="ar-SA"/>
        </w:rPr>
        <w:t xml:space="preserve"> Lymphocytes were pre-cultured in the presence of the mitogen phytohaemagglutinin for </w:t>
      </w:r>
      <w:r w:rsidRPr="009D6C8D">
        <w:rPr>
          <w:rFonts w:eastAsiaTheme="minorHAnsi" w:cstheme="minorBidi"/>
          <w:szCs w:val="22"/>
          <w:lang w:bidi="ar-SA"/>
        </w:rPr>
        <w:t>48</w:t>
      </w:r>
      <w:r w:rsidRPr="00206383">
        <w:rPr>
          <w:rFonts w:eastAsiaTheme="minorHAnsi" w:cstheme="minorBidi"/>
          <w:szCs w:val="22"/>
          <w:lang w:bidi="ar-SA"/>
        </w:rPr>
        <w:t xml:space="preserve"> hours prior to the start of exposure. </w:t>
      </w:r>
    </w:p>
    <w:p w14:paraId="12AE5898" w14:textId="77777777" w:rsidR="00723016" w:rsidRPr="00206383" w:rsidRDefault="00723016" w:rsidP="00723016">
      <w:pPr>
        <w:widowControl/>
        <w:rPr>
          <w:rFonts w:eastAsiaTheme="minorHAnsi" w:cstheme="minorBidi"/>
          <w:szCs w:val="22"/>
          <w:lang w:bidi="ar-SA"/>
        </w:rPr>
      </w:pPr>
    </w:p>
    <w:p w14:paraId="458984E7" w14:textId="77777777" w:rsidR="00723016" w:rsidRDefault="00723016" w:rsidP="00723016">
      <w:pPr>
        <w:widowControl/>
        <w:rPr>
          <w:rFonts w:eastAsiaTheme="minorHAnsi" w:cstheme="minorBidi"/>
          <w:szCs w:val="22"/>
          <w:lang w:bidi="ar-SA"/>
        </w:rPr>
      </w:pPr>
      <w:r w:rsidRPr="00206383">
        <w:rPr>
          <w:rFonts w:eastAsiaTheme="minorHAnsi" w:cstheme="minorBidi"/>
          <w:szCs w:val="22"/>
          <w:lang w:bidi="ar-SA"/>
        </w:rPr>
        <w:t>Following a preliminary cytotoxicity test</w:t>
      </w:r>
      <w:r>
        <w:rPr>
          <w:rFonts w:eastAsiaTheme="minorHAnsi" w:cstheme="minorBidi"/>
          <w:szCs w:val="22"/>
          <w:lang w:bidi="ar-SA"/>
        </w:rPr>
        <w:t>,</w:t>
      </w:r>
      <w:r w:rsidRPr="00206383">
        <w:rPr>
          <w:rFonts w:eastAsiaTheme="minorHAnsi" w:cstheme="minorBidi"/>
          <w:szCs w:val="22"/>
          <w:lang w:bidi="ar-SA"/>
        </w:rPr>
        <w:t xml:space="preserve"> two experiments were conducted. In experiment I cells were exposed to the test substance in the presence or absence of metabolic activation (S9 mix) for </w:t>
      </w:r>
      <w:r w:rsidRPr="009D6C8D">
        <w:rPr>
          <w:rFonts w:eastAsiaTheme="minorHAnsi" w:cstheme="minorBidi"/>
          <w:szCs w:val="22"/>
          <w:lang w:bidi="ar-SA"/>
        </w:rPr>
        <w:t>3</w:t>
      </w:r>
      <w:r w:rsidRPr="00206383">
        <w:rPr>
          <w:rFonts w:eastAsiaTheme="minorHAnsi" w:cstheme="minorBidi"/>
          <w:szCs w:val="22"/>
          <w:lang w:bidi="ar-SA"/>
        </w:rPr>
        <w:t xml:space="preserve"> hours, then washed and cultured in fresh medium for a further </w:t>
      </w:r>
      <w:r w:rsidRPr="009D6C8D">
        <w:rPr>
          <w:rFonts w:eastAsiaTheme="minorHAnsi" w:cstheme="minorBidi"/>
          <w:szCs w:val="22"/>
          <w:lang w:bidi="ar-SA"/>
        </w:rPr>
        <w:t>21</w:t>
      </w:r>
      <w:r w:rsidRPr="00206383">
        <w:rPr>
          <w:rFonts w:eastAsiaTheme="minorHAnsi" w:cstheme="minorBidi"/>
          <w:szCs w:val="22"/>
          <w:lang w:bidi="ar-SA"/>
        </w:rPr>
        <w:t xml:space="preserve"> hours. In experiment II cells were exposed to the test substance for 24 hours in the absence of S9</w:t>
      </w:r>
      <w:r>
        <w:rPr>
          <w:rFonts w:eastAsiaTheme="minorHAnsi" w:cstheme="minorBidi"/>
          <w:szCs w:val="22"/>
          <w:lang w:bidi="ar-SA"/>
        </w:rPr>
        <w:t xml:space="preserve">, </w:t>
      </w:r>
      <w:r w:rsidRPr="00206383">
        <w:rPr>
          <w:rFonts w:eastAsiaTheme="minorHAnsi" w:cstheme="minorBidi"/>
          <w:szCs w:val="22"/>
          <w:lang w:bidi="ar-SA"/>
        </w:rPr>
        <w:t xml:space="preserve">then washed and cultured in fresh medium for a further </w:t>
      </w:r>
      <w:r w:rsidRPr="009D6C8D">
        <w:rPr>
          <w:rFonts w:eastAsiaTheme="minorHAnsi" w:cstheme="minorBidi"/>
          <w:szCs w:val="22"/>
          <w:lang w:bidi="ar-SA"/>
        </w:rPr>
        <w:t>2</w:t>
      </w:r>
      <w:r>
        <w:rPr>
          <w:rFonts w:eastAsiaTheme="minorHAnsi" w:cstheme="minorBidi"/>
          <w:szCs w:val="22"/>
          <w:lang w:bidi="ar-SA"/>
        </w:rPr>
        <w:t>4</w:t>
      </w:r>
      <w:r w:rsidRPr="00206383">
        <w:rPr>
          <w:rFonts w:eastAsiaTheme="minorHAnsi" w:cstheme="minorBidi"/>
          <w:szCs w:val="22"/>
          <w:lang w:bidi="ar-SA"/>
        </w:rPr>
        <w:t xml:space="preserve"> hours. Cells were cultured in duplicate. </w:t>
      </w:r>
      <w:r>
        <w:rPr>
          <w:rFonts w:eastAsiaTheme="minorHAnsi" w:cstheme="minorBidi"/>
          <w:szCs w:val="22"/>
          <w:lang w:bidi="ar-SA"/>
        </w:rPr>
        <w:t xml:space="preserve">Concentrations of the test item ranged from </w:t>
      </w:r>
      <w:r w:rsidRPr="005A6C5E">
        <w:rPr>
          <w:rFonts w:eastAsiaTheme="minorHAnsi" w:cstheme="minorBidi"/>
          <w:szCs w:val="22"/>
          <w:lang w:bidi="ar-SA"/>
        </w:rPr>
        <w:t xml:space="preserve">3000-5000 </w:t>
      </w:r>
      <w:r w:rsidRPr="00206383">
        <w:rPr>
          <w:rFonts w:eastAsiaTheme="minorHAnsi" w:cs="Arial"/>
          <w:szCs w:val="22"/>
          <w:lang w:bidi="ar-SA"/>
        </w:rPr>
        <w:t>µ</w:t>
      </w:r>
      <w:r w:rsidRPr="00206383">
        <w:rPr>
          <w:rFonts w:eastAsiaTheme="minorHAnsi" w:cstheme="minorBidi"/>
          <w:szCs w:val="22"/>
          <w:lang w:bidi="ar-SA"/>
        </w:rPr>
        <w:t>g/</w:t>
      </w:r>
      <w:r w:rsidRPr="005A6C5E">
        <w:rPr>
          <w:rFonts w:eastAsiaTheme="minorHAnsi" w:cstheme="minorBidi"/>
          <w:szCs w:val="22"/>
          <w:lang w:bidi="ar-SA"/>
        </w:rPr>
        <w:t>mL</w:t>
      </w:r>
      <w:r w:rsidRPr="00206383">
        <w:rPr>
          <w:rFonts w:eastAsiaTheme="minorHAnsi" w:cstheme="minorBidi"/>
          <w:szCs w:val="22"/>
          <w:lang w:bidi="ar-SA"/>
        </w:rPr>
        <w:t xml:space="preserve"> in experiment I and </w:t>
      </w:r>
      <w:r w:rsidRPr="005A6C5E">
        <w:rPr>
          <w:rFonts w:eastAsiaTheme="minorHAnsi" w:cstheme="minorBidi"/>
          <w:szCs w:val="22"/>
          <w:lang w:bidi="ar-SA"/>
        </w:rPr>
        <w:t xml:space="preserve">1000-5000 </w:t>
      </w:r>
      <w:r w:rsidRPr="00206383">
        <w:rPr>
          <w:rFonts w:eastAsiaTheme="minorHAnsi" w:cs="Arial"/>
          <w:szCs w:val="22"/>
          <w:lang w:bidi="ar-SA"/>
        </w:rPr>
        <w:t>µ</w:t>
      </w:r>
      <w:r w:rsidRPr="00206383">
        <w:rPr>
          <w:rFonts w:eastAsiaTheme="minorHAnsi" w:cstheme="minorBidi"/>
          <w:szCs w:val="22"/>
          <w:lang w:bidi="ar-SA"/>
        </w:rPr>
        <w:t>g/mL in experiment II.</w:t>
      </w:r>
    </w:p>
    <w:p w14:paraId="47BC68E9" w14:textId="77777777" w:rsidR="00723016" w:rsidRDefault="00723016" w:rsidP="00723016">
      <w:pPr>
        <w:widowControl/>
        <w:rPr>
          <w:rFonts w:eastAsiaTheme="minorHAnsi" w:cstheme="minorBidi"/>
          <w:szCs w:val="22"/>
          <w:lang w:bidi="ar-SA"/>
        </w:rPr>
      </w:pPr>
    </w:p>
    <w:p w14:paraId="22118811" w14:textId="77777777" w:rsidR="00723016" w:rsidRPr="00206383" w:rsidRDefault="00723016" w:rsidP="00723016">
      <w:pPr>
        <w:widowControl/>
        <w:rPr>
          <w:rFonts w:eastAsiaTheme="minorHAnsi" w:cstheme="minorBidi"/>
          <w:szCs w:val="22"/>
          <w:lang w:bidi="ar-SA"/>
        </w:rPr>
      </w:pPr>
      <w:r>
        <w:rPr>
          <w:rFonts w:eastAsiaTheme="minorHAnsi" w:cstheme="minorBidi"/>
          <w:szCs w:val="22"/>
          <w:lang w:bidi="ar-SA"/>
        </w:rPr>
        <w:t>Mitomycin C</w:t>
      </w:r>
      <w:r w:rsidRPr="00C417A3">
        <w:rPr>
          <w:rFonts w:eastAsiaTheme="minorHAnsi" w:cstheme="minorBidi"/>
          <w:szCs w:val="22"/>
          <w:lang w:bidi="ar-SA"/>
        </w:rPr>
        <w:t xml:space="preserve"> and </w:t>
      </w:r>
      <w:r>
        <w:rPr>
          <w:rFonts w:eastAsiaTheme="minorHAnsi" w:cstheme="minorBidi"/>
          <w:szCs w:val="22"/>
          <w:lang w:bidi="ar-SA"/>
        </w:rPr>
        <w:t>v</w:t>
      </w:r>
      <w:r w:rsidRPr="00C417A3">
        <w:rPr>
          <w:rFonts w:eastAsiaTheme="minorHAnsi" w:cstheme="minorBidi"/>
          <w:szCs w:val="22"/>
          <w:lang w:bidi="ar-SA"/>
        </w:rPr>
        <w:t xml:space="preserve">inblastine were </w:t>
      </w:r>
      <w:r>
        <w:rPr>
          <w:rFonts w:eastAsiaTheme="minorHAnsi" w:cstheme="minorBidi"/>
          <w:szCs w:val="22"/>
          <w:lang w:bidi="ar-SA"/>
        </w:rPr>
        <w:t>used</w:t>
      </w:r>
      <w:r w:rsidRPr="00C417A3">
        <w:rPr>
          <w:rFonts w:eastAsiaTheme="minorHAnsi" w:cstheme="minorBidi"/>
          <w:szCs w:val="22"/>
          <w:lang w:bidi="ar-SA"/>
        </w:rPr>
        <w:t xml:space="preserve"> as clastogenic and aneugenic positive control</w:t>
      </w:r>
      <w:r>
        <w:rPr>
          <w:rFonts w:eastAsiaTheme="minorHAnsi" w:cstheme="minorBidi"/>
          <w:szCs w:val="22"/>
          <w:lang w:bidi="ar-SA"/>
        </w:rPr>
        <w:t>s</w:t>
      </w:r>
      <w:r w:rsidRPr="00C417A3">
        <w:rPr>
          <w:rFonts w:eastAsiaTheme="minorHAnsi" w:cstheme="minorBidi"/>
          <w:szCs w:val="22"/>
          <w:lang w:bidi="ar-SA"/>
        </w:rPr>
        <w:t xml:space="preserve"> respectively in the absence of S</w:t>
      </w:r>
      <w:r>
        <w:rPr>
          <w:rFonts w:eastAsiaTheme="minorHAnsi" w:cstheme="minorBidi"/>
          <w:szCs w:val="22"/>
          <w:lang w:bidi="ar-SA"/>
        </w:rPr>
        <w:t xml:space="preserve">9. Cyclophosphamide </w:t>
      </w:r>
      <w:r w:rsidRPr="00C417A3">
        <w:rPr>
          <w:rFonts w:eastAsiaTheme="minorHAnsi" w:cstheme="minorBidi"/>
          <w:szCs w:val="22"/>
          <w:lang w:bidi="ar-SA"/>
        </w:rPr>
        <w:t xml:space="preserve">was </w:t>
      </w:r>
      <w:r>
        <w:rPr>
          <w:rFonts w:eastAsiaTheme="minorHAnsi" w:cstheme="minorBidi"/>
          <w:szCs w:val="22"/>
          <w:lang w:bidi="ar-SA"/>
        </w:rPr>
        <w:t xml:space="preserve">the </w:t>
      </w:r>
      <w:r w:rsidRPr="00C417A3">
        <w:rPr>
          <w:rFonts w:eastAsiaTheme="minorHAnsi" w:cstheme="minorBidi"/>
          <w:szCs w:val="22"/>
          <w:lang w:bidi="ar-SA"/>
        </w:rPr>
        <w:t xml:space="preserve">clastogenic positive control </w:t>
      </w:r>
      <w:r>
        <w:rPr>
          <w:rFonts w:eastAsiaTheme="minorHAnsi" w:cstheme="minorBidi"/>
          <w:szCs w:val="22"/>
          <w:lang w:bidi="ar-SA"/>
        </w:rPr>
        <w:t>in the presence of S9</w:t>
      </w:r>
      <w:r w:rsidRPr="00C417A3">
        <w:rPr>
          <w:rFonts w:eastAsiaTheme="minorHAnsi" w:cstheme="minorBidi"/>
          <w:szCs w:val="22"/>
          <w:lang w:bidi="ar-SA"/>
        </w:rPr>
        <w:t>.</w:t>
      </w:r>
      <w:r>
        <w:rPr>
          <w:rFonts w:eastAsiaTheme="minorHAnsi" w:cstheme="minorBidi"/>
          <w:szCs w:val="22"/>
          <w:lang w:bidi="ar-SA"/>
        </w:rPr>
        <w:t xml:space="preserve"> </w:t>
      </w:r>
      <w:r w:rsidRPr="003F6ABF">
        <w:rPr>
          <w:rFonts w:eastAsiaTheme="minorHAnsi" w:cstheme="minorBidi"/>
          <w:szCs w:val="22"/>
          <w:lang w:eastAsia="en-AU" w:bidi="ar-SA"/>
        </w:rPr>
        <w:t>Cytochalasin B was added to the culture medium after removal of the test item</w:t>
      </w:r>
      <w:r w:rsidRPr="00206383">
        <w:rPr>
          <w:rFonts w:eastAsiaTheme="minorHAnsi" w:cstheme="minorBidi"/>
          <w:szCs w:val="22"/>
          <w:lang w:eastAsia="en-AU" w:bidi="ar-SA"/>
        </w:rPr>
        <w:t xml:space="preserve"> to </w:t>
      </w:r>
      <w:r>
        <w:rPr>
          <w:rFonts w:eastAsiaTheme="minorHAnsi" w:cstheme="minorBidi"/>
          <w:szCs w:val="22"/>
          <w:lang w:eastAsia="en-AU" w:bidi="ar-SA"/>
        </w:rPr>
        <w:t>inhibit cell division (cytokinesis) but not nuclear division (karyokinesis). At the end of the study c</w:t>
      </w:r>
      <w:r w:rsidRPr="00206383">
        <w:rPr>
          <w:rFonts w:eastAsiaTheme="minorHAnsi" w:cstheme="minorBidi"/>
          <w:szCs w:val="22"/>
          <w:lang w:eastAsia="en-AU" w:bidi="ar-SA"/>
        </w:rPr>
        <w:t>ells were fixed on slides and scored for</w:t>
      </w:r>
      <w:r>
        <w:rPr>
          <w:rFonts w:eastAsiaTheme="minorHAnsi" w:cstheme="minorBidi"/>
          <w:szCs w:val="22"/>
          <w:lang w:eastAsia="en-AU" w:bidi="ar-SA"/>
        </w:rPr>
        <w:t xml:space="preserve"> micronuclei. I</w:t>
      </w:r>
      <w:r w:rsidRPr="00891BEE">
        <w:rPr>
          <w:rFonts w:eastAsiaTheme="minorHAnsi" w:cstheme="minorBidi"/>
          <w:szCs w:val="22"/>
          <w:lang w:eastAsia="en-AU" w:bidi="ar-SA"/>
        </w:rPr>
        <w:t xml:space="preserve">nitially 2000 cells per concentration were analysed for micronuclei. For clarification, an additional 1000 binucleate cells were analysed per culture from the 5000 </w:t>
      </w:r>
      <w:r w:rsidRPr="00891BEE">
        <w:rPr>
          <w:rFonts w:eastAsiaTheme="minorHAnsi" w:cs="Arial"/>
          <w:szCs w:val="22"/>
          <w:lang w:eastAsia="en-AU" w:bidi="ar-SA"/>
        </w:rPr>
        <w:t>µ</w:t>
      </w:r>
      <w:r w:rsidRPr="00891BEE">
        <w:rPr>
          <w:rFonts w:eastAsiaTheme="minorHAnsi" w:cstheme="minorBidi"/>
          <w:szCs w:val="22"/>
          <w:lang w:eastAsia="en-AU" w:bidi="ar-SA"/>
        </w:rPr>
        <w:t xml:space="preserve">g/mL concentration </w:t>
      </w:r>
      <w:r>
        <w:rPr>
          <w:rFonts w:eastAsiaTheme="minorHAnsi" w:cstheme="minorBidi"/>
          <w:szCs w:val="22"/>
          <w:lang w:eastAsia="en-AU" w:bidi="ar-SA"/>
        </w:rPr>
        <w:t>in experiment II</w:t>
      </w:r>
      <w:r w:rsidRPr="00891BEE">
        <w:rPr>
          <w:rFonts w:eastAsiaTheme="minorHAnsi" w:cstheme="minorBidi"/>
          <w:szCs w:val="22"/>
          <w:lang w:eastAsia="en-AU" w:bidi="ar-SA"/>
        </w:rPr>
        <w:t xml:space="preserve">. </w:t>
      </w:r>
    </w:p>
    <w:p w14:paraId="159DAA5A" w14:textId="77777777" w:rsidR="00723016" w:rsidRPr="00206383" w:rsidRDefault="00723016" w:rsidP="00723016">
      <w:pPr>
        <w:widowControl/>
        <w:rPr>
          <w:rFonts w:eastAsiaTheme="minorHAnsi" w:cstheme="minorBidi"/>
          <w:szCs w:val="22"/>
          <w:lang w:bidi="ar-SA"/>
        </w:rPr>
      </w:pPr>
    </w:p>
    <w:p w14:paraId="5C9CFEAF" w14:textId="77777777" w:rsidR="00723016" w:rsidRDefault="00723016" w:rsidP="00723016">
      <w:pPr>
        <w:widowControl/>
        <w:rPr>
          <w:rFonts w:eastAsiaTheme="minorHAnsi" w:cstheme="minorBidi"/>
          <w:szCs w:val="22"/>
          <w:lang w:bidi="ar-SA"/>
        </w:rPr>
      </w:pPr>
      <w:r>
        <w:rPr>
          <w:rFonts w:eastAsiaTheme="minorHAnsi" w:cstheme="minorBidi"/>
          <w:szCs w:val="22"/>
          <w:lang w:bidi="ar-SA"/>
        </w:rPr>
        <w:t xml:space="preserve">In experiment I, with or without S9, the frequencies of micronucleated binucleate (MNBN) cells following treatment with amylase were similar to the vehicle controls. In experiment II a statistically significant increase in frequency of MNBN cells was seen at 5000 </w:t>
      </w:r>
      <w:r>
        <w:rPr>
          <w:rFonts w:eastAsiaTheme="minorHAnsi" w:cs="Arial"/>
          <w:szCs w:val="22"/>
          <w:lang w:bidi="ar-SA"/>
        </w:rPr>
        <w:t>µ</w:t>
      </w:r>
      <w:r>
        <w:rPr>
          <w:rFonts w:eastAsiaTheme="minorHAnsi" w:cstheme="minorBidi"/>
          <w:szCs w:val="22"/>
          <w:lang w:bidi="ar-SA"/>
        </w:rPr>
        <w:t>g/mL compared with the vehicle control, although only one of the two replicates had a MNBN frequency that exceeded the historical control range. A further 1000 cells per culture were scored at this concentration which resulted in the overall cell frequency falling within normal values. All positive controls induced significant increases in the frequency of MNBN cells, confirming the validity of the test system.</w:t>
      </w:r>
    </w:p>
    <w:p w14:paraId="0DE35E10" w14:textId="77777777" w:rsidR="00723016" w:rsidRDefault="00723016" w:rsidP="00723016">
      <w:pPr>
        <w:widowControl/>
        <w:rPr>
          <w:rFonts w:eastAsiaTheme="minorHAnsi" w:cstheme="minorBidi"/>
          <w:szCs w:val="22"/>
          <w:lang w:bidi="ar-SA"/>
        </w:rPr>
      </w:pPr>
    </w:p>
    <w:p w14:paraId="6F09A71C" w14:textId="02BB71F1" w:rsidR="00723016" w:rsidRDefault="00723016" w:rsidP="00723016">
      <w:pPr>
        <w:rPr>
          <w:lang w:eastAsia="en-AU"/>
        </w:rPr>
      </w:pPr>
      <w:r w:rsidRPr="00206383">
        <w:rPr>
          <w:rFonts w:eastAsiaTheme="minorHAnsi" w:cstheme="minorBidi"/>
          <w:szCs w:val="22"/>
          <w:lang w:bidi="ar-SA"/>
        </w:rPr>
        <w:t xml:space="preserve">It was concluded that </w:t>
      </w:r>
      <w:r w:rsidRPr="00905C81">
        <w:rPr>
          <w:rFonts w:eastAsiaTheme="minorHAnsi" w:cstheme="minorBidi"/>
          <w:szCs w:val="22"/>
          <w:lang w:bidi="ar-SA"/>
        </w:rPr>
        <w:t xml:space="preserve">the amylase </w:t>
      </w:r>
      <w:r>
        <w:rPr>
          <w:rFonts w:eastAsiaTheme="minorHAnsi" w:cstheme="minorBidi"/>
          <w:szCs w:val="22"/>
          <w:lang w:bidi="ar-SA"/>
        </w:rPr>
        <w:t>did not induce micronuclei in cultured human peripheral blood lymphocytes under the study conditions</w:t>
      </w:r>
      <w:r w:rsidRPr="00206383">
        <w:rPr>
          <w:rFonts w:eastAsiaTheme="minorHAnsi" w:cstheme="minorBidi"/>
          <w:szCs w:val="22"/>
          <w:lang w:bidi="ar-SA"/>
        </w:rPr>
        <w:t xml:space="preserve">. </w:t>
      </w:r>
    </w:p>
    <w:p w14:paraId="25019BA0" w14:textId="338777BF" w:rsidR="00CE73C7" w:rsidRDefault="00CE73C7" w:rsidP="00CE73C7">
      <w:pPr>
        <w:pStyle w:val="Heading4"/>
        <w:rPr>
          <w:lang w:eastAsia="en-AU"/>
        </w:rPr>
      </w:pPr>
      <w:r>
        <w:rPr>
          <w:lang w:eastAsia="en-AU"/>
        </w:rPr>
        <w:t xml:space="preserve">Studies with PPA48131 subtilisin </w:t>
      </w:r>
      <w:r w:rsidR="00075FC4">
        <w:rPr>
          <w:lang w:eastAsia="en-AU"/>
        </w:rPr>
        <w:t>from the Si3 strain lineage</w:t>
      </w:r>
    </w:p>
    <w:p w14:paraId="10A160FB" w14:textId="67358C9A" w:rsidR="00CE73C7" w:rsidRDefault="00CE73C7" w:rsidP="00CE73C7">
      <w:pPr>
        <w:rPr>
          <w:i/>
          <w:lang w:val="en-AU" w:eastAsia="en-AU"/>
        </w:rPr>
      </w:pPr>
      <w:r>
        <w:rPr>
          <w:i/>
          <w:lang w:val="en-AU" w:eastAsia="en-AU"/>
        </w:rPr>
        <w:t>Bacterial reverse mutation assay using a treat and plate modific</w:t>
      </w:r>
      <w:r w:rsidR="004550B1">
        <w:rPr>
          <w:i/>
          <w:lang w:val="en-AU" w:eastAsia="en-AU"/>
        </w:rPr>
        <w:t>ation (Covance Laboratories</w:t>
      </w:r>
      <w:r>
        <w:rPr>
          <w:i/>
          <w:lang w:val="en-AU" w:eastAsia="en-AU"/>
        </w:rPr>
        <w:t xml:space="preserve">, 2018) Regulatory status: GLP; </w:t>
      </w:r>
      <w:r w:rsidR="004550B1">
        <w:rPr>
          <w:i/>
          <w:lang w:val="en-AU" w:eastAsia="en-AU"/>
        </w:rPr>
        <w:t xml:space="preserve">conducted </w:t>
      </w:r>
      <w:r>
        <w:rPr>
          <w:i/>
          <w:lang w:val="en-AU" w:eastAsia="en-AU"/>
        </w:rPr>
        <w:t xml:space="preserve">in accordance with OECD </w:t>
      </w:r>
      <w:r w:rsidR="004550B1">
        <w:rPr>
          <w:i/>
          <w:lang w:val="en-AU" w:eastAsia="en-AU"/>
        </w:rPr>
        <w:t>TG</w:t>
      </w:r>
      <w:r>
        <w:rPr>
          <w:i/>
          <w:lang w:val="en-AU" w:eastAsia="en-AU"/>
        </w:rPr>
        <w:t xml:space="preserve"> 471 (1997)</w:t>
      </w:r>
    </w:p>
    <w:p w14:paraId="1A123A67" w14:textId="77777777" w:rsidR="00CE73C7" w:rsidRDefault="00CE73C7" w:rsidP="00CE73C7">
      <w:pPr>
        <w:rPr>
          <w:i/>
          <w:lang w:val="en-AU" w:eastAsia="en-AU"/>
        </w:rPr>
      </w:pPr>
    </w:p>
    <w:p w14:paraId="48574441" w14:textId="52B9A59A" w:rsidR="00CE73C7" w:rsidRDefault="00CE73C7" w:rsidP="008D1033">
      <w:pPr>
        <w:rPr>
          <w:highlight w:val="yellow"/>
          <w:lang w:eastAsia="en-AU" w:bidi="ar-SA"/>
        </w:rPr>
      </w:pPr>
      <w:r>
        <w:rPr>
          <w:lang w:val="en-AU" w:eastAsia="en-AU"/>
        </w:rPr>
        <w:t>The test item in this study was subtilisin</w:t>
      </w:r>
      <w:r w:rsidR="00955355">
        <w:rPr>
          <w:lang w:val="en-AU" w:eastAsia="en-AU"/>
        </w:rPr>
        <w:t xml:space="preserve"> (batch number PPA48131)</w:t>
      </w:r>
      <w:r>
        <w:rPr>
          <w:lang w:val="en-AU" w:eastAsia="en-AU"/>
        </w:rPr>
        <w:t xml:space="preserve"> from </w:t>
      </w:r>
      <w:r>
        <w:rPr>
          <w:i/>
          <w:lang w:val="en-AU" w:eastAsia="en-AU"/>
        </w:rPr>
        <w:t>B</w:t>
      </w:r>
      <w:r>
        <w:rPr>
          <w:i/>
          <w:iCs/>
          <w:lang w:val="en-AU" w:eastAsia="en-AU"/>
        </w:rPr>
        <w:t>. licheniformis</w:t>
      </w:r>
      <w:r w:rsidRPr="00DB50FB">
        <w:rPr>
          <w:iCs/>
          <w:lang w:val="en-AU" w:eastAsia="en-AU"/>
        </w:rPr>
        <w:t xml:space="preserve"> of </w:t>
      </w:r>
      <w:r w:rsidRPr="00075FC4">
        <w:rPr>
          <w:iCs/>
          <w:lang w:val="en-AU" w:eastAsia="en-AU"/>
        </w:rPr>
        <w:t xml:space="preserve">the </w:t>
      </w:r>
      <w:r w:rsidR="00075FC4" w:rsidRPr="00075FC4">
        <w:rPr>
          <w:iCs/>
          <w:lang w:val="en-AU" w:eastAsia="en-AU"/>
        </w:rPr>
        <w:t>Si3</w:t>
      </w:r>
      <w:r w:rsidR="00075FC4">
        <w:rPr>
          <w:i/>
          <w:iCs/>
          <w:lang w:val="en-AU" w:eastAsia="en-AU"/>
        </w:rPr>
        <w:t xml:space="preserve"> </w:t>
      </w:r>
      <w:r w:rsidRPr="006B3356">
        <w:rPr>
          <w:iCs/>
          <w:lang w:val="en-AU" w:eastAsia="en-AU"/>
        </w:rPr>
        <w:t>strain lin</w:t>
      </w:r>
      <w:r>
        <w:rPr>
          <w:iCs/>
          <w:lang w:val="en-AU" w:eastAsia="en-AU"/>
        </w:rPr>
        <w:t>e</w:t>
      </w:r>
      <w:r w:rsidRPr="006B3356">
        <w:rPr>
          <w:iCs/>
          <w:lang w:val="en-AU" w:eastAsia="en-AU"/>
        </w:rPr>
        <w:t>age</w:t>
      </w:r>
      <w:r>
        <w:rPr>
          <w:lang w:val="en-AU" w:eastAsia="en-AU"/>
        </w:rPr>
        <w:t xml:space="preserve">. </w:t>
      </w:r>
      <w:r>
        <w:rPr>
          <w:lang w:eastAsia="en-AU" w:bidi="ar-SA"/>
        </w:rPr>
        <w:t xml:space="preserve">Test concentrations were reported in terms of TOS of the test item subtilisin. The vehicle and negative </w:t>
      </w:r>
      <w:r w:rsidR="0024285A">
        <w:rPr>
          <w:lang w:eastAsia="en-AU" w:bidi="ar-SA"/>
        </w:rPr>
        <w:t xml:space="preserve">control was </w:t>
      </w:r>
      <w:r>
        <w:rPr>
          <w:lang w:eastAsia="en-AU" w:bidi="ar-SA"/>
        </w:rPr>
        <w:t xml:space="preserve">water. Test systems for the assay were </w:t>
      </w:r>
      <w:r>
        <w:rPr>
          <w:i/>
          <w:lang w:eastAsia="en-AU" w:bidi="ar-SA"/>
        </w:rPr>
        <w:t>Salmonella typhimurium</w:t>
      </w:r>
      <w:r>
        <w:rPr>
          <w:lang w:eastAsia="en-AU" w:bidi="ar-SA"/>
        </w:rPr>
        <w:t xml:space="preserve"> strains TA100, TA98, TA1537, TA1535 and </w:t>
      </w:r>
      <w:r>
        <w:rPr>
          <w:i/>
          <w:lang w:eastAsia="en-AU"/>
        </w:rPr>
        <w:t>Escherichia coli</w:t>
      </w:r>
      <w:r>
        <w:rPr>
          <w:lang w:eastAsia="en-AU"/>
        </w:rPr>
        <w:t xml:space="preserve"> WP2</w:t>
      </w:r>
      <w:r>
        <w:rPr>
          <w:i/>
          <w:lang w:eastAsia="en-AU"/>
        </w:rPr>
        <w:t>uvr</w:t>
      </w:r>
      <w:r>
        <w:rPr>
          <w:lang w:eastAsia="en-AU"/>
        </w:rPr>
        <w:t>A pKM101</w:t>
      </w:r>
      <w:r>
        <w:rPr>
          <w:lang w:eastAsia="en-AU" w:bidi="ar-SA"/>
        </w:rPr>
        <w:t xml:space="preserve">. Concentrations of 16, 50, 160, 500, 1600 and 5000 </w:t>
      </w:r>
      <w:r>
        <w:rPr>
          <w:rFonts w:cs="Arial"/>
          <w:lang w:eastAsia="en-AU" w:bidi="ar-SA"/>
        </w:rPr>
        <w:t>µ</w:t>
      </w:r>
      <w:r>
        <w:rPr>
          <w:lang w:eastAsia="en-AU" w:bidi="ar-SA"/>
        </w:rPr>
        <w:t xml:space="preserve">g/plate subtilisin were used in the first of two independent main tests. The second test used 160, 300, 625, 1250 and 5000 </w:t>
      </w:r>
      <w:r>
        <w:rPr>
          <w:rFonts w:cs="Arial"/>
          <w:lang w:eastAsia="en-AU" w:bidi="ar-SA"/>
        </w:rPr>
        <w:t>µ</w:t>
      </w:r>
      <w:r>
        <w:rPr>
          <w:lang w:eastAsia="en-AU" w:bidi="ar-SA"/>
        </w:rPr>
        <w:t>g/plate. Both tests were conducted in the presence and absence of metabolic activation (S9 mix).</w:t>
      </w:r>
      <w:r w:rsidR="008D1033" w:rsidRPr="008D1033">
        <w:t xml:space="preserve"> </w:t>
      </w:r>
      <w:r w:rsidR="008D1033">
        <w:rPr>
          <w:lang w:eastAsia="en-AU" w:bidi="ar-SA"/>
        </w:rPr>
        <w:t>A 'treat and plate' procedure was used for all treatments in this study as the test item may contain free amino acids (i.e. histidine and tryptophan) which may cause artefacts through growth stimulation in a standard plate-incorporation test.</w:t>
      </w:r>
      <w:r w:rsidR="003255CB" w:rsidRPr="003255CB">
        <w:t xml:space="preserve"> </w:t>
      </w:r>
      <w:r w:rsidR="003255CB">
        <w:rPr>
          <w:lang w:eastAsia="en-AU" w:bidi="ar-SA"/>
        </w:rPr>
        <w:t xml:space="preserve">As the test article is a protease, which is </w:t>
      </w:r>
      <w:r w:rsidR="008D1033">
        <w:rPr>
          <w:lang w:eastAsia="en-AU" w:bidi="ar-SA"/>
        </w:rPr>
        <w:t>likely to reduce S</w:t>
      </w:r>
      <w:r w:rsidR="003255CB">
        <w:rPr>
          <w:lang w:eastAsia="en-AU" w:bidi="ar-SA"/>
        </w:rPr>
        <w:t>9 activity due to degradation of the S-9 enzymes, the test article formulations used in the presence of S9 were autoclaved in order to denature and inactivate the protease activity of the test article.</w:t>
      </w:r>
      <w:r w:rsidR="008D1033">
        <w:rPr>
          <w:lang w:eastAsia="en-AU" w:bidi="ar-SA"/>
        </w:rPr>
        <w:t xml:space="preserve"> Additional positive control treatments in the presence of S9 and the autoclaved test item were included to confirm the </w:t>
      </w:r>
      <w:r w:rsidR="008D1033">
        <w:rPr>
          <w:lang w:eastAsia="en-AU" w:bidi="ar-SA"/>
        </w:rPr>
        <w:lastRenderedPageBreak/>
        <w:t>inactivation of the protease activity of the test item.</w:t>
      </w:r>
      <w:r>
        <w:rPr>
          <w:lang w:eastAsia="en-AU" w:bidi="ar-SA"/>
        </w:rPr>
        <w:t xml:space="preserve"> All assays were conducted in duplicate. </w:t>
      </w:r>
    </w:p>
    <w:p w14:paraId="56E24C5A" w14:textId="77777777" w:rsidR="00CE73C7" w:rsidRDefault="00CE73C7" w:rsidP="00CE73C7">
      <w:pPr>
        <w:rPr>
          <w:lang w:eastAsia="en-AU"/>
        </w:rPr>
      </w:pPr>
    </w:p>
    <w:p w14:paraId="4297F143" w14:textId="4DF0CBDA" w:rsidR="00CE73C7" w:rsidRDefault="00CE73C7" w:rsidP="00CE73C7">
      <w:pPr>
        <w:rPr>
          <w:lang w:eastAsia="en-AU"/>
        </w:rPr>
      </w:pPr>
      <w:r>
        <w:rPr>
          <w:lang w:eastAsia="en-AU"/>
        </w:rPr>
        <w:t xml:space="preserve">There was no evidence of mutagenicity, cytotoxicity or precipitation at any of the dose levels investigated. </w:t>
      </w:r>
      <w:r>
        <w:rPr>
          <w:lang w:eastAsia="en-AU" w:bidi="ar-SA"/>
        </w:rPr>
        <w:t xml:space="preserve">Results obtained with the negative and positive controls were compatible with historical control values for the laboratory, confirming the validity of the assays. </w:t>
      </w:r>
      <w:r>
        <w:rPr>
          <w:lang w:eastAsia="en-AU"/>
        </w:rPr>
        <w:t>It was concluded that</w:t>
      </w:r>
      <w:r w:rsidR="000D5094">
        <w:rPr>
          <w:lang w:eastAsia="en-AU"/>
        </w:rPr>
        <w:t xml:space="preserve"> the subtilisin was not mutagenic</w:t>
      </w:r>
      <w:r>
        <w:rPr>
          <w:lang w:eastAsia="en-AU"/>
        </w:rPr>
        <w:t xml:space="preserve"> under the conditions of this study. </w:t>
      </w:r>
    </w:p>
    <w:p w14:paraId="57FB0B48" w14:textId="28991E14" w:rsidR="00AF76E2" w:rsidRDefault="00AF76E2" w:rsidP="00AF76E2">
      <w:pPr>
        <w:pStyle w:val="Heading3"/>
      </w:pPr>
      <w:r>
        <w:t>3.4.5</w:t>
      </w:r>
      <w:r w:rsidR="006B7019">
        <w:tab/>
      </w:r>
      <w:r>
        <w:t>Potential for allergenicity</w:t>
      </w:r>
    </w:p>
    <w:p w14:paraId="0708B937" w14:textId="64B18EA2" w:rsidR="00910FD4" w:rsidRDefault="00910FD4" w:rsidP="00910FD4">
      <w:pPr>
        <w:rPr>
          <w:lang w:eastAsia="en-AU" w:bidi="ar-SA"/>
        </w:rPr>
      </w:pPr>
      <w:r>
        <w:rPr>
          <w:lang w:eastAsia="en-AU" w:bidi="ar-SA"/>
        </w:rPr>
        <w:t xml:space="preserve">The applicant performed searches for homology of the amino acid sequence of the subtilisin enzyme that is the subject of this application to known allergens in the </w:t>
      </w:r>
      <w:hyperlink r:id="rId21" w:history="1">
        <w:r>
          <w:rPr>
            <w:rStyle w:val="Hyperlink"/>
            <w:rFonts w:eastAsiaTheme="majorEastAsia"/>
            <w:lang w:eastAsia="en-AU" w:bidi="ar-SA"/>
          </w:rPr>
          <w:t>Allergen Online database</w:t>
        </w:r>
      </w:hyperlink>
      <w:r>
        <w:rPr>
          <w:lang w:eastAsia="en-AU" w:bidi="ar-SA"/>
        </w:rPr>
        <w:t xml:space="preserve"> of the University of Nebraska’s Food Allergy Research and Resource Program (FARRP)</w:t>
      </w:r>
      <w:r w:rsidR="006D2C4A">
        <w:rPr>
          <w:lang w:eastAsia="en-AU" w:bidi="ar-SA"/>
        </w:rPr>
        <w:t xml:space="preserve"> and the </w:t>
      </w:r>
      <w:hyperlink r:id="rId22" w:history="1">
        <w:r w:rsidR="006D2C4A" w:rsidRPr="006D2C4A">
          <w:rPr>
            <w:rStyle w:val="Hyperlink"/>
            <w:lang w:eastAsia="en-AU" w:bidi="ar-SA"/>
          </w:rPr>
          <w:t>World Health Organisation and International Union of Immunological Societies (WHO/IUIS) Allergen Nomenclature Sub-committee</w:t>
        </w:r>
      </w:hyperlink>
      <w:r>
        <w:rPr>
          <w:lang w:eastAsia="en-AU" w:bidi="ar-SA"/>
        </w:rPr>
        <w:t>. The following searches were conducted:</w:t>
      </w:r>
    </w:p>
    <w:p w14:paraId="74B6269A" w14:textId="77777777" w:rsidR="00910FD4" w:rsidRDefault="00910FD4" w:rsidP="00910FD4">
      <w:pPr>
        <w:rPr>
          <w:lang w:eastAsia="en-AU" w:bidi="ar-SA"/>
        </w:rPr>
      </w:pPr>
    </w:p>
    <w:p w14:paraId="0AF3E7EC" w14:textId="77777777" w:rsidR="00910FD4" w:rsidRDefault="00910FD4" w:rsidP="00910FD4">
      <w:pPr>
        <w:pStyle w:val="FSBullet1"/>
        <w:rPr>
          <w:lang w:eastAsia="en-AU"/>
        </w:rPr>
      </w:pPr>
      <w:r>
        <w:rPr>
          <w:lang w:eastAsia="en-AU"/>
        </w:rPr>
        <w:t>A search for full-length sequence alignment for matches of &gt; 35% identity</w:t>
      </w:r>
    </w:p>
    <w:p w14:paraId="4A14F385" w14:textId="63A233CF" w:rsidR="00910FD4" w:rsidRDefault="00910FD4" w:rsidP="00910FD4">
      <w:pPr>
        <w:pStyle w:val="FSBullet1"/>
        <w:rPr>
          <w:lang w:eastAsia="en-AU"/>
        </w:rPr>
      </w:pPr>
      <w:r>
        <w:rPr>
          <w:lang w:eastAsia="en-AU"/>
        </w:rPr>
        <w:t xml:space="preserve">A search </w:t>
      </w:r>
      <w:r w:rsidR="006D2C4A">
        <w:rPr>
          <w:lang w:eastAsia="en-AU"/>
        </w:rPr>
        <w:t>for &gt; 35% identity over 80 amino acids</w:t>
      </w:r>
    </w:p>
    <w:p w14:paraId="60AA655D" w14:textId="60FF7188" w:rsidR="006D2C4A" w:rsidRPr="006D2C4A" w:rsidRDefault="006D2C4A" w:rsidP="006D2C4A">
      <w:pPr>
        <w:pStyle w:val="FSBullet1"/>
        <w:rPr>
          <w:lang w:eastAsia="en-AU"/>
        </w:rPr>
      </w:pPr>
      <w:r>
        <w:rPr>
          <w:lang w:eastAsia="en-AU"/>
        </w:rPr>
        <w:t>A search for &gt; 35% identity over 80 amino acids with scaling enabled</w:t>
      </w:r>
    </w:p>
    <w:p w14:paraId="20CF044B" w14:textId="07938B2D" w:rsidR="00910FD4" w:rsidRDefault="00910FD4" w:rsidP="00910FD4">
      <w:pPr>
        <w:pStyle w:val="FSBullet1"/>
        <w:rPr>
          <w:lang w:eastAsia="en-AU"/>
        </w:rPr>
      </w:pPr>
      <w:r>
        <w:rPr>
          <w:lang w:eastAsia="en-AU"/>
        </w:rPr>
        <w:t xml:space="preserve">A search for </w:t>
      </w:r>
      <w:r w:rsidR="006D2C4A">
        <w:rPr>
          <w:lang w:eastAsia="en-AU"/>
        </w:rPr>
        <w:t>100% identity over</w:t>
      </w:r>
      <w:r>
        <w:rPr>
          <w:lang w:eastAsia="en-AU"/>
        </w:rPr>
        <w:t xml:space="preserve"> 8 contiguous amino acids</w:t>
      </w:r>
    </w:p>
    <w:p w14:paraId="40E475F5" w14:textId="77777777" w:rsidR="00910FD4" w:rsidRDefault="00910FD4" w:rsidP="00910FD4">
      <w:pPr>
        <w:rPr>
          <w:lang w:eastAsia="en-AU" w:bidi="ar-SA"/>
        </w:rPr>
      </w:pPr>
    </w:p>
    <w:p w14:paraId="595F5742" w14:textId="4B047B3D" w:rsidR="007F4A66" w:rsidRDefault="00910FD4" w:rsidP="00910FD4">
      <w:pPr>
        <w:rPr>
          <w:lang w:eastAsia="en-AU" w:bidi="ar-SA"/>
        </w:rPr>
      </w:pPr>
      <w:r>
        <w:rPr>
          <w:lang w:eastAsia="en-AU" w:bidi="ar-SA"/>
        </w:rPr>
        <w:t>The search identified a number of matches</w:t>
      </w:r>
      <w:r w:rsidR="00955355">
        <w:rPr>
          <w:lang w:eastAsia="en-AU" w:bidi="ar-SA"/>
        </w:rPr>
        <w:t xml:space="preserve"> to known allergens</w:t>
      </w:r>
      <w:r>
        <w:rPr>
          <w:lang w:eastAsia="en-AU" w:bidi="ar-SA"/>
        </w:rPr>
        <w:t>, however only one match was classed as a food</w:t>
      </w:r>
      <w:r w:rsidR="00040F65">
        <w:rPr>
          <w:lang w:eastAsia="en-AU" w:bidi="ar-SA"/>
        </w:rPr>
        <w:t xml:space="preserve"> allergen. T</w:t>
      </w:r>
      <w:r>
        <w:rPr>
          <w:lang w:eastAsia="en-AU" w:bidi="ar-SA"/>
        </w:rPr>
        <w:t>he others were either respiratory, aero or contact allergens</w:t>
      </w:r>
      <w:r w:rsidR="007F4A66">
        <w:rPr>
          <w:lang w:eastAsia="en-AU" w:bidi="ar-SA"/>
        </w:rPr>
        <w:t>, which are not usually food allergens (</w:t>
      </w:r>
      <w:r w:rsidR="006B1E71" w:rsidRPr="006B1E71">
        <w:rPr>
          <w:lang w:eastAsia="en-AU" w:bidi="ar-SA"/>
        </w:rPr>
        <w:t>Dauvrin et al. 1998</w:t>
      </w:r>
      <w:r w:rsidR="007F4A66">
        <w:rPr>
          <w:lang w:eastAsia="en-AU" w:bidi="ar-SA"/>
        </w:rPr>
        <w:t>, Bindslev-Jensen et al. 2006)</w:t>
      </w:r>
      <w:r>
        <w:rPr>
          <w:lang w:eastAsia="en-AU" w:bidi="ar-SA"/>
        </w:rPr>
        <w:t xml:space="preserve">. </w:t>
      </w:r>
    </w:p>
    <w:p w14:paraId="0F9CBC29" w14:textId="77777777" w:rsidR="007F4A66" w:rsidRDefault="007F4A66" w:rsidP="00910FD4">
      <w:pPr>
        <w:rPr>
          <w:lang w:eastAsia="en-AU" w:bidi="ar-SA"/>
        </w:rPr>
      </w:pPr>
    </w:p>
    <w:p w14:paraId="2C255BE1" w14:textId="21722383" w:rsidR="00EC1F11" w:rsidRDefault="00910FD4" w:rsidP="000D5094">
      <w:pPr>
        <w:rPr>
          <w:lang w:eastAsia="en-AU" w:bidi="ar-SA"/>
        </w:rPr>
      </w:pPr>
      <w:r>
        <w:rPr>
          <w:lang w:eastAsia="en-AU" w:bidi="ar-SA"/>
        </w:rPr>
        <w:t xml:space="preserve">The food </w:t>
      </w:r>
      <w:r w:rsidR="00040F65">
        <w:rPr>
          <w:lang w:eastAsia="en-AU" w:bidi="ar-SA"/>
        </w:rPr>
        <w:t>allergen was</w:t>
      </w:r>
      <w:r>
        <w:rPr>
          <w:lang w:eastAsia="en-AU" w:bidi="ar-SA"/>
        </w:rPr>
        <w:t xml:space="preserve"> </w:t>
      </w:r>
      <w:r w:rsidR="00040F65">
        <w:rPr>
          <w:lang w:eastAsia="en-AU" w:bidi="ar-SA"/>
        </w:rPr>
        <w:t>Cuc m 1 (cucumisin) from muskmelon (</w:t>
      </w:r>
      <w:r w:rsidR="00040F65" w:rsidRPr="00040F65">
        <w:rPr>
          <w:i/>
          <w:lang w:eastAsia="en-AU" w:bidi="ar-SA"/>
        </w:rPr>
        <w:t>Cucumis melo</w:t>
      </w:r>
      <w:r w:rsidR="00040F65">
        <w:rPr>
          <w:lang w:eastAsia="en-AU" w:bidi="ar-SA"/>
        </w:rPr>
        <w:t>), which had up to 39</w:t>
      </w:r>
      <w:r w:rsidR="00040F65" w:rsidRPr="00040F65">
        <w:rPr>
          <w:lang w:eastAsia="en-AU" w:bidi="ar-SA"/>
        </w:rPr>
        <w:t>% identity with the</w:t>
      </w:r>
      <w:r w:rsidR="00040F65">
        <w:rPr>
          <w:lang w:eastAsia="en-AU" w:bidi="ar-SA"/>
        </w:rPr>
        <w:t xml:space="preserve"> subtilisin produced by </w:t>
      </w:r>
      <w:r w:rsidR="00040F65" w:rsidRPr="00040F65">
        <w:rPr>
          <w:i/>
          <w:lang w:eastAsia="en-AU" w:bidi="ar-SA"/>
        </w:rPr>
        <w:t>B. licheniformis</w:t>
      </w:r>
      <w:r w:rsidR="00040F65" w:rsidRPr="00040F65">
        <w:rPr>
          <w:lang w:eastAsia="en-AU" w:bidi="ar-SA"/>
        </w:rPr>
        <w:t xml:space="preserve"> across an 80 amino </w:t>
      </w:r>
      <w:r w:rsidR="00040F65">
        <w:rPr>
          <w:lang w:eastAsia="en-AU" w:bidi="ar-SA"/>
        </w:rPr>
        <w:t>acid</w:t>
      </w:r>
      <w:r w:rsidR="00040F65" w:rsidRPr="00040F65">
        <w:rPr>
          <w:lang w:eastAsia="en-AU" w:bidi="ar-SA"/>
        </w:rPr>
        <w:t xml:space="preserve"> window. In contrast, the </w:t>
      </w:r>
      <w:r w:rsidR="00D47A3B">
        <w:rPr>
          <w:lang w:eastAsia="en-AU" w:bidi="ar-SA"/>
        </w:rPr>
        <w:t xml:space="preserve">searches for </w:t>
      </w:r>
      <w:r w:rsidR="00040F65" w:rsidRPr="00040F65">
        <w:rPr>
          <w:lang w:eastAsia="en-AU" w:bidi="ar-SA"/>
        </w:rPr>
        <w:t xml:space="preserve">full-length sequence </w:t>
      </w:r>
      <w:r w:rsidR="00D47A3B">
        <w:rPr>
          <w:lang w:eastAsia="en-AU" w:bidi="ar-SA"/>
        </w:rPr>
        <w:t>alignment &gt;</w:t>
      </w:r>
      <w:r w:rsidR="0029371D">
        <w:rPr>
          <w:lang w:eastAsia="en-AU" w:bidi="ar-SA"/>
        </w:rPr>
        <w:t xml:space="preserve"> </w:t>
      </w:r>
      <w:r w:rsidR="00D47A3B">
        <w:rPr>
          <w:lang w:eastAsia="en-AU" w:bidi="ar-SA"/>
        </w:rPr>
        <w:t>35% identity and search for 100% identity over 8 amino acids did not identify matches</w:t>
      </w:r>
      <w:r w:rsidR="0029371D">
        <w:rPr>
          <w:lang w:eastAsia="en-AU" w:bidi="ar-SA"/>
        </w:rPr>
        <w:t xml:space="preserve"> with cucumisin or any other food allergens</w:t>
      </w:r>
      <w:r w:rsidR="00D47A3B">
        <w:rPr>
          <w:lang w:eastAsia="en-AU" w:bidi="ar-SA"/>
        </w:rPr>
        <w:t>. The full-length sequence comparison</w:t>
      </w:r>
      <w:r w:rsidR="00040F65" w:rsidRPr="00040F65">
        <w:rPr>
          <w:lang w:eastAsia="en-AU" w:bidi="ar-SA"/>
        </w:rPr>
        <w:t xml:space="preserve"> </w:t>
      </w:r>
      <w:r w:rsidR="007F4A66">
        <w:rPr>
          <w:lang w:eastAsia="en-AU" w:bidi="ar-SA"/>
        </w:rPr>
        <w:t xml:space="preserve">only </w:t>
      </w:r>
      <w:r w:rsidR="00040F65" w:rsidRPr="00040F65">
        <w:rPr>
          <w:lang w:eastAsia="en-AU" w:bidi="ar-SA"/>
        </w:rPr>
        <w:t xml:space="preserve">showed up to 19.1% identity between </w:t>
      </w:r>
      <w:r w:rsidR="00D47A3B">
        <w:rPr>
          <w:lang w:eastAsia="en-AU" w:bidi="ar-SA"/>
        </w:rPr>
        <w:t>cucumisin</w:t>
      </w:r>
      <w:r w:rsidR="00040F65" w:rsidRPr="00040F65">
        <w:rPr>
          <w:lang w:eastAsia="en-AU" w:bidi="ar-SA"/>
        </w:rPr>
        <w:t xml:space="preserve"> and</w:t>
      </w:r>
      <w:r w:rsidR="00040F65">
        <w:rPr>
          <w:lang w:eastAsia="en-AU" w:bidi="ar-SA"/>
        </w:rPr>
        <w:t xml:space="preserve"> subtilisin produced by </w:t>
      </w:r>
      <w:r w:rsidR="00040F65" w:rsidRPr="00040F65">
        <w:rPr>
          <w:i/>
          <w:lang w:eastAsia="en-AU" w:bidi="ar-SA"/>
        </w:rPr>
        <w:t>B. licheniformis</w:t>
      </w:r>
      <w:r w:rsidR="00040F65" w:rsidRPr="00040F65">
        <w:rPr>
          <w:lang w:eastAsia="en-AU" w:bidi="ar-SA"/>
        </w:rPr>
        <w:t>.</w:t>
      </w:r>
      <w:r w:rsidR="007F4A66">
        <w:rPr>
          <w:lang w:eastAsia="en-AU" w:bidi="ar-SA"/>
        </w:rPr>
        <w:t xml:space="preserve"> </w:t>
      </w:r>
    </w:p>
    <w:p w14:paraId="32C90BD8" w14:textId="2C4E574D" w:rsidR="007F6006" w:rsidRDefault="007F6006" w:rsidP="000D5094">
      <w:pPr>
        <w:rPr>
          <w:lang w:eastAsia="en-AU" w:bidi="ar-SA"/>
        </w:rPr>
      </w:pPr>
    </w:p>
    <w:p w14:paraId="5477E27D" w14:textId="2D271D40" w:rsidR="007F6006" w:rsidRDefault="007F6006" w:rsidP="000D5094">
      <w:pPr>
        <w:rPr>
          <w:lang w:eastAsia="en-AU" w:bidi="ar-SA"/>
        </w:rPr>
      </w:pPr>
      <w:r>
        <w:rPr>
          <w:lang w:eastAsia="en-AU" w:bidi="ar-SA"/>
        </w:rPr>
        <w:t xml:space="preserve">Similarity between cucumisin and microbial subtilisin enzymes has been reported in the scientific literature </w:t>
      </w:r>
      <w:r w:rsidR="006671DE">
        <w:rPr>
          <w:lang w:eastAsia="en-AU" w:bidi="ar-SA"/>
        </w:rPr>
        <w:t>and a GRAS notice from 2017</w:t>
      </w:r>
      <w:r w:rsidR="006671DE">
        <w:rPr>
          <w:rStyle w:val="FootnoteReference"/>
          <w:lang w:eastAsia="en-AU" w:bidi="ar-SA"/>
        </w:rPr>
        <w:footnoteReference w:id="7"/>
      </w:r>
      <w:r w:rsidR="006671DE">
        <w:rPr>
          <w:lang w:eastAsia="en-AU" w:bidi="ar-SA"/>
        </w:rPr>
        <w:t xml:space="preserve"> </w:t>
      </w:r>
      <w:r>
        <w:rPr>
          <w:lang w:eastAsia="en-AU" w:bidi="ar-SA"/>
        </w:rPr>
        <w:t xml:space="preserve">(Yamagata et al. 1994; Cuesta-Herranz et al. 2003). </w:t>
      </w:r>
    </w:p>
    <w:p w14:paraId="6D2133F2" w14:textId="77777777" w:rsidR="00EC1F11" w:rsidRDefault="00EC1F11" w:rsidP="000D5094">
      <w:pPr>
        <w:rPr>
          <w:lang w:eastAsia="en-AU" w:bidi="ar-SA"/>
        </w:rPr>
      </w:pPr>
    </w:p>
    <w:p w14:paraId="6938F41A" w14:textId="3A07B71C" w:rsidR="007F4A66" w:rsidRDefault="00E8485F" w:rsidP="000D5094">
      <w:pPr>
        <w:rPr>
          <w:lang w:bidi="ar-SA"/>
        </w:rPr>
      </w:pPr>
      <w:r>
        <w:rPr>
          <w:lang w:bidi="ar-SA"/>
        </w:rPr>
        <w:t>N</w:t>
      </w:r>
      <w:r w:rsidR="007F4A66" w:rsidRPr="004905CE">
        <w:rPr>
          <w:lang w:bidi="ar-SA"/>
        </w:rPr>
        <w:t xml:space="preserve">o </w:t>
      </w:r>
      <w:r w:rsidR="00775932">
        <w:rPr>
          <w:lang w:bidi="ar-SA"/>
        </w:rPr>
        <w:t xml:space="preserve">evidence of </w:t>
      </w:r>
      <w:r w:rsidR="007F4A66" w:rsidRPr="004905CE">
        <w:rPr>
          <w:lang w:bidi="ar-SA"/>
        </w:rPr>
        <w:t xml:space="preserve">food allergy to </w:t>
      </w:r>
      <w:r w:rsidR="007F4A66">
        <w:rPr>
          <w:lang w:bidi="ar-SA"/>
        </w:rPr>
        <w:t>a</w:t>
      </w:r>
      <w:r w:rsidR="00BB0603">
        <w:rPr>
          <w:lang w:bidi="ar-SA"/>
        </w:rPr>
        <w:t>nother</w:t>
      </w:r>
      <w:r w:rsidR="007F4A66">
        <w:rPr>
          <w:lang w:bidi="ar-SA"/>
        </w:rPr>
        <w:t xml:space="preserve"> subtilisin from </w:t>
      </w:r>
      <w:r w:rsidR="007F4A66" w:rsidRPr="007F4A66">
        <w:rPr>
          <w:i/>
          <w:lang w:bidi="ar-SA"/>
        </w:rPr>
        <w:t>B. licheniformis</w:t>
      </w:r>
      <w:r w:rsidR="007F4A66">
        <w:rPr>
          <w:lang w:bidi="ar-SA"/>
        </w:rPr>
        <w:t xml:space="preserve"> </w:t>
      </w:r>
      <w:r w:rsidR="001B4E4B" w:rsidRPr="004905CE">
        <w:rPr>
          <w:lang w:bidi="ar-SA"/>
        </w:rPr>
        <w:t>w</w:t>
      </w:r>
      <w:r w:rsidR="001B4E4B">
        <w:rPr>
          <w:lang w:bidi="ar-SA"/>
        </w:rPr>
        <w:t>as</w:t>
      </w:r>
      <w:r w:rsidR="001B4E4B" w:rsidRPr="004905CE">
        <w:rPr>
          <w:lang w:bidi="ar-SA"/>
        </w:rPr>
        <w:t xml:space="preserve"> </w:t>
      </w:r>
      <w:r w:rsidR="007F4A66" w:rsidRPr="004905CE">
        <w:rPr>
          <w:lang w:bidi="ar-SA"/>
        </w:rPr>
        <w:t>found in a study of 400 individuals with allergy to inhalation, food</w:t>
      </w:r>
      <w:r w:rsidR="005B6E24">
        <w:rPr>
          <w:lang w:bidi="ar-SA"/>
        </w:rPr>
        <w:t>, bee</w:t>
      </w:r>
      <w:r w:rsidR="007F4A66" w:rsidRPr="004905CE">
        <w:rPr>
          <w:lang w:bidi="ar-SA"/>
        </w:rPr>
        <w:t xml:space="preserve"> or </w:t>
      </w:r>
      <w:r w:rsidR="005B6E24">
        <w:rPr>
          <w:lang w:bidi="ar-SA"/>
        </w:rPr>
        <w:t>wasp</w:t>
      </w:r>
      <w:r w:rsidR="005B6E24" w:rsidRPr="004905CE">
        <w:rPr>
          <w:lang w:bidi="ar-SA"/>
        </w:rPr>
        <w:t xml:space="preserve"> </w:t>
      </w:r>
      <w:r w:rsidR="007F4A66" w:rsidRPr="004905CE">
        <w:rPr>
          <w:lang w:bidi="ar-SA"/>
        </w:rPr>
        <w:t>allergens (</w:t>
      </w:r>
      <w:r w:rsidR="007F4A66" w:rsidRPr="004905CE">
        <w:rPr>
          <w:lang w:eastAsia="en-AU" w:bidi="ar-SA"/>
        </w:rPr>
        <w:t xml:space="preserve">Bindslev-Jensen </w:t>
      </w:r>
      <w:r w:rsidR="007F4A66" w:rsidRPr="00075FC4">
        <w:rPr>
          <w:i/>
          <w:lang w:eastAsia="en-AU" w:bidi="ar-SA"/>
        </w:rPr>
        <w:t>et al.</w:t>
      </w:r>
      <w:r w:rsidR="007F4A66" w:rsidRPr="004905CE">
        <w:rPr>
          <w:lang w:eastAsia="en-AU" w:bidi="ar-SA"/>
        </w:rPr>
        <w:t xml:space="preserve"> 2006</w:t>
      </w:r>
      <w:r w:rsidR="00DF508D">
        <w:rPr>
          <w:lang w:bidi="ar-SA"/>
        </w:rPr>
        <w:t>).</w:t>
      </w:r>
      <w:r w:rsidR="005B6E24">
        <w:rPr>
          <w:lang w:bidi="ar-SA"/>
        </w:rPr>
        <w:t xml:space="preserve"> The </w:t>
      </w:r>
      <w:r w:rsidR="00F93A08">
        <w:rPr>
          <w:lang w:bidi="ar-SA"/>
        </w:rPr>
        <w:t xml:space="preserve">application </w:t>
      </w:r>
      <w:r w:rsidR="005B6E24">
        <w:rPr>
          <w:lang w:bidi="ar-SA"/>
        </w:rPr>
        <w:t xml:space="preserve">subtilisin </w:t>
      </w:r>
      <w:r w:rsidR="00F93A08">
        <w:rPr>
          <w:lang w:bidi="ar-SA"/>
        </w:rPr>
        <w:t>has</w:t>
      </w:r>
      <w:r w:rsidR="005B6E24">
        <w:rPr>
          <w:lang w:bidi="ar-SA"/>
        </w:rPr>
        <w:t xml:space="preserve"> a higher identity</w:t>
      </w:r>
      <w:r w:rsidR="00955355">
        <w:rPr>
          <w:lang w:bidi="ar-SA"/>
        </w:rPr>
        <w:t xml:space="preserve"> </w:t>
      </w:r>
      <w:r w:rsidR="00075FC4">
        <w:rPr>
          <w:lang w:bidi="ar-SA"/>
        </w:rPr>
        <w:t xml:space="preserve">over the full sequence length </w:t>
      </w:r>
      <w:r w:rsidR="00955355">
        <w:rPr>
          <w:lang w:bidi="ar-SA"/>
        </w:rPr>
        <w:t xml:space="preserve">with the subtilisin used in the study by Bindslev-Jensen </w:t>
      </w:r>
      <w:r w:rsidR="00955355" w:rsidRPr="00075FC4">
        <w:rPr>
          <w:i/>
          <w:lang w:bidi="ar-SA"/>
        </w:rPr>
        <w:t>et al.</w:t>
      </w:r>
      <w:r w:rsidR="00955355">
        <w:rPr>
          <w:lang w:bidi="ar-SA"/>
        </w:rPr>
        <w:t xml:space="preserve"> </w:t>
      </w:r>
      <w:r w:rsidR="00F93A08">
        <w:rPr>
          <w:lang w:bidi="ar-SA"/>
        </w:rPr>
        <w:t>than with cucumisin (</w:t>
      </w:r>
      <w:r w:rsidR="00955355">
        <w:rPr>
          <w:lang w:bidi="ar-SA"/>
        </w:rPr>
        <w:t xml:space="preserve">46% versus </w:t>
      </w:r>
      <w:r w:rsidR="00F93A08">
        <w:rPr>
          <w:lang w:bidi="ar-SA"/>
        </w:rPr>
        <w:t>19.1</w:t>
      </w:r>
      <w:r w:rsidR="00F93A08" w:rsidRPr="00F93A08">
        <w:rPr>
          <w:lang w:bidi="ar-SA"/>
        </w:rPr>
        <w:t>%</w:t>
      </w:r>
      <w:r w:rsidR="00955355">
        <w:rPr>
          <w:lang w:bidi="ar-SA"/>
        </w:rPr>
        <w:t>, respectively</w:t>
      </w:r>
      <w:r w:rsidR="00F93A08" w:rsidRPr="00F93A08">
        <w:rPr>
          <w:lang w:bidi="ar-SA"/>
        </w:rPr>
        <w:t>).</w:t>
      </w:r>
      <w:r w:rsidR="00DE5CAE">
        <w:rPr>
          <w:lang w:bidi="ar-SA"/>
        </w:rPr>
        <w:t xml:space="preserve"> A literature search </w:t>
      </w:r>
      <w:r w:rsidR="00D47A3B">
        <w:rPr>
          <w:lang w:bidi="ar-SA"/>
        </w:rPr>
        <w:t xml:space="preserve">also </w:t>
      </w:r>
      <w:r w:rsidR="00DE5CAE">
        <w:rPr>
          <w:lang w:bidi="ar-SA"/>
        </w:rPr>
        <w:t>found no reports of food allergy associated with consumption of subtilisin</w:t>
      </w:r>
      <w:r w:rsidR="00775932">
        <w:rPr>
          <w:lang w:bidi="ar-SA"/>
        </w:rPr>
        <w:t xml:space="preserve"> enzymes</w:t>
      </w:r>
      <w:r w:rsidR="00BB0603" w:rsidRPr="00F93A08">
        <w:rPr>
          <w:lang w:bidi="ar-SA"/>
        </w:rPr>
        <w:t>.</w:t>
      </w:r>
      <w:r w:rsidR="00075FC4">
        <w:rPr>
          <w:lang w:bidi="ar-SA"/>
        </w:rPr>
        <w:t xml:space="preserve"> </w:t>
      </w:r>
    </w:p>
    <w:p w14:paraId="00ED1390" w14:textId="102248DF" w:rsidR="00401AFE" w:rsidRDefault="00401AFE" w:rsidP="000D5094">
      <w:pPr>
        <w:rPr>
          <w:lang w:bidi="ar-SA"/>
        </w:rPr>
      </w:pPr>
    </w:p>
    <w:p w14:paraId="0E525A46" w14:textId="54460E5A" w:rsidR="00401AFE" w:rsidRDefault="00401AFE" w:rsidP="000D5094">
      <w:pPr>
        <w:rPr>
          <w:lang w:bidi="ar-SA"/>
        </w:rPr>
      </w:pPr>
      <w:r w:rsidRPr="00401AFE">
        <w:rPr>
          <w:lang w:bidi="ar-SA"/>
        </w:rPr>
        <w:t xml:space="preserve">The applicant </w:t>
      </w:r>
      <w:r>
        <w:rPr>
          <w:lang w:bidi="ar-SA"/>
        </w:rPr>
        <w:t xml:space="preserve">has </w:t>
      </w:r>
      <w:r w:rsidRPr="00401AFE">
        <w:rPr>
          <w:lang w:bidi="ar-SA"/>
        </w:rPr>
        <w:t>indicated that the harsh conditions during potable alcohol processing will completely denature the subtilisin. In addition, the enzyme is likely to be removed from the final product by the distillation process.</w:t>
      </w:r>
    </w:p>
    <w:p w14:paraId="48375942" w14:textId="77777777" w:rsidR="00ED4710" w:rsidRDefault="00ED4710" w:rsidP="000D5094">
      <w:pPr>
        <w:rPr>
          <w:lang w:bidi="ar-SA"/>
        </w:rPr>
      </w:pPr>
    </w:p>
    <w:p w14:paraId="74A5CCC0" w14:textId="60E38608" w:rsidR="006F610D" w:rsidRDefault="00C13369" w:rsidP="000D5094">
      <w:pPr>
        <w:rPr>
          <w:lang w:eastAsia="en-AU" w:bidi="ar-SA"/>
        </w:rPr>
      </w:pPr>
      <w:r>
        <w:rPr>
          <w:lang w:eastAsia="en-AU" w:bidi="ar-SA"/>
        </w:rPr>
        <w:t>Based on the available information, sub</w:t>
      </w:r>
      <w:r w:rsidR="00867A45">
        <w:rPr>
          <w:lang w:eastAsia="en-AU" w:bidi="ar-SA"/>
        </w:rPr>
        <w:t xml:space="preserve">tilisin is unlikely to pose an </w:t>
      </w:r>
      <w:r w:rsidR="00DE5CAE">
        <w:rPr>
          <w:lang w:eastAsia="en-AU" w:bidi="ar-SA"/>
        </w:rPr>
        <w:t xml:space="preserve">allergenicity concern. </w:t>
      </w:r>
      <w:r w:rsidR="00867A45">
        <w:rPr>
          <w:lang w:eastAsia="en-AU" w:bidi="ar-SA"/>
        </w:rPr>
        <w:t xml:space="preserve"> </w:t>
      </w:r>
    </w:p>
    <w:p w14:paraId="32088BE6" w14:textId="4FB6896C" w:rsidR="0097662A" w:rsidRDefault="0097662A" w:rsidP="0097662A">
      <w:pPr>
        <w:pStyle w:val="Heading3"/>
      </w:pPr>
      <w:r>
        <w:t>3.4.6</w:t>
      </w:r>
      <w:r w:rsidR="006B7019">
        <w:tab/>
      </w:r>
      <w:r>
        <w:t>Safety assessments by overseas agencies</w:t>
      </w:r>
    </w:p>
    <w:p w14:paraId="083AED44" w14:textId="77777777" w:rsidR="00D47A3B" w:rsidRDefault="00B76079" w:rsidP="00F80A5B">
      <w:pPr>
        <w:rPr>
          <w:lang w:eastAsia="en-AU" w:bidi="ar-SA"/>
        </w:rPr>
      </w:pPr>
      <w:r>
        <w:rPr>
          <w:lang w:eastAsia="en-AU" w:bidi="ar-SA"/>
        </w:rPr>
        <w:t xml:space="preserve">Safety assessments of the subtilisin enzyme preparation </w:t>
      </w:r>
      <w:r w:rsidR="0097662A" w:rsidRPr="0097662A">
        <w:rPr>
          <w:lang w:eastAsia="en-AU" w:bidi="ar-SA"/>
        </w:rPr>
        <w:t>by international agencies or other national government agencies</w:t>
      </w:r>
      <w:r>
        <w:rPr>
          <w:lang w:eastAsia="en-AU" w:bidi="ar-SA"/>
        </w:rPr>
        <w:t xml:space="preserve"> are not available</w:t>
      </w:r>
      <w:r w:rsidR="0097662A" w:rsidRPr="0097662A">
        <w:rPr>
          <w:lang w:eastAsia="en-AU" w:bidi="ar-SA"/>
        </w:rPr>
        <w:t>.</w:t>
      </w:r>
      <w:r w:rsidR="0097662A">
        <w:rPr>
          <w:lang w:eastAsia="en-AU" w:bidi="ar-SA"/>
        </w:rPr>
        <w:t xml:space="preserve"> </w:t>
      </w:r>
    </w:p>
    <w:p w14:paraId="69442DD1" w14:textId="77777777" w:rsidR="00D47A3B" w:rsidRDefault="00D47A3B" w:rsidP="00F80A5B">
      <w:pPr>
        <w:rPr>
          <w:lang w:eastAsia="en-AU" w:bidi="ar-SA"/>
        </w:rPr>
      </w:pPr>
    </w:p>
    <w:p w14:paraId="2C9A1FF6" w14:textId="7F9B55DF" w:rsidR="006F610D" w:rsidRDefault="00F80A5B" w:rsidP="00F80A5B">
      <w:pPr>
        <w:rPr>
          <w:lang w:eastAsia="en-AU" w:bidi="ar-SA"/>
        </w:rPr>
      </w:pPr>
      <w:r>
        <w:rPr>
          <w:lang w:eastAsia="en-AU" w:bidi="ar-SA"/>
        </w:rPr>
        <w:t xml:space="preserve">The US FDA has evaluated and affirmed </w:t>
      </w:r>
      <w:r>
        <w:rPr>
          <w:rFonts w:eastAsiaTheme="minorHAnsi" w:cstheme="minorBidi"/>
          <w:szCs w:val="22"/>
          <w:lang w:val="en-US" w:eastAsia="en-AU" w:bidi="ar-SA"/>
        </w:rPr>
        <w:t xml:space="preserve">a protease enzyme preparation containing subtilisin obtained from </w:t>
      </w:r>
      <w:r w:rsidRPr="00C315E1">
        <w:rPr>
          <w:rFonts w:eastAsiaTheme="minorHAnsi" w:cstheme="minorBidi"/>
          <w:i/>
          <w:szCs w:val="22"/>
          <w:lang w:val="en-US" w:eastAsia="en-AU" w:bidi="ar-SA"/>
        </w:rPr>
        <w:t>B. subtilis</w:t>
      </w:r>
      <w:r>
        <w:rPr>
          <w:rFonts w:eastAsiaTheme="minorHAnsi" w:cstheme="minorBidi"/>
          <w:szCs w:val="22"/>
          <w:lang w:val="en-US" w:eastAsia="en-AU" w:bidi="ar-SA"/>
        </w:rPr>
        <w:t xml:space="preserve"> or </w:t>
      </w:r>
      <w:r w:rsidRPr="00C315E1">
        <w:rPr>
          <w:rFonts w:eastAsiaTheme="minorHAnsi" w:cstheme="minorBidi"/>
          <w:i/>
          <w:szCs w:val="22"/>
          <w:lang w:val="en-US" w:eastAsia="en-AU" w:bidi="ar-SA"/>
        </w:rPr>
        <w:t>B. amyloliquifaciens</w:t>
      </w:r>
      <w:r>
        <w:rPr>
          <w:rFonts w:eastAsiaTheme="minorHAnsi" w:cstheme="minorBidi"/>
          <w:szCs w:val="22"/>
          <w:lang w:val="en-US" w:eastAsia="en-AU" w:bidi="ar-SA"/>
        </w:rPr>
        <w:t xml:space="preserve"> as GRAS, based </w:t>
      </w:r>
      <w:r w:rsidRPr="00F80A5B">
        <w:rPr>
          <w:rFonts w:eastAsiaTheme="minorHAnsi" w:cstheme="minorBidi"/>
          <w:szCs w:val="22"/>
          <w:lang w:val="en-US" w:eastAsia="en-AU" w:bidi="ar-SA"/>
        </w:rPr>
        <w:t>on evidence of a</w:t>
      </w:r>
      <w:r>
        <w:rPr>
          <w:rFonts w:eastAsiaTheme="minorHAnsi" w:cstheme="minorBidi"/>
          <w:szCs w:val="22"/>
          <w:lang w:val="en-US" w:eastAsia="en-AU" w:bidi="ar-SA"/>
        </w:rPr>
        <w:t xml:space="preserve"> </w:t>
      </w:r>
      <w:r w:rsidRPr="00F80A5B">
        <w:rPr>
          <w:rFonts w:eastAsiaTheme="minorHAnsi" w:cstheme="minorBidi"/>
          <w:szCs w:val="22"/>
          <w:lang w:val="en-US" w:eastAsia="en-AU" w:bidi="ar-SA"/>
        </w:rPr>
        <w:t>substantial history of safe consumption</w:t>
      </w:r>
      <w:r w:rsidR="0029371D">
        <w:rPr>
          <w:rFonts w:eastAsiaTheme="minorHAnsi" w:cstheme="minorBidi"/>
          <w:szCs w:val="22"/>
          <w:lang w:val="en-US" w:eastAsia="en-AU" w:bidi="ar-SA"/>
        </w:rPr>
        <w:t xml:space="preserve"> </w:t>
      </w:r>
      <w:r w:rsidRPr="00F80A5B">
        <w:rPr>
          <w:rFonts w:eastAsiaTheme="minorHAnsi" w:cstheme="minorBidi"/>
          <w:szCs w:val="22"/>
          <w:lang w:val="en-US" w:eastAsia="en-AU" w:bidi="ar-SA"/>
        </w:rPr>
        <w:t>of the enzyme preparations in food by</w:t>
      </w:r>
      <w:r>
        <w:rPr>
          <w:rFonts w:eastAsiaTheme="minorHAnsi" w:cstheme="minorBidi"/>
          <w:szCs w:val="22"/>
          <w:lang w:val="en-US" w:eastAsia="en-AU" w:bidi="ar-SA"/>
        </w:rPr>
        <w:t xml:space="preserve"> </w:t>
      </w:r>
      <w:r w:rsidRPr="00F80A5B">
        <w:rPr>
          <w:rFonts w:eastAsiaTheme="minorHAnsi" w:cstheme="minorBidi"/>
          <w:szCs w:val="22"/>
          <w:lang w:val="en-US" w:eastAsia="en-AU" w:bidi="ar-SA"/>
        </w:rPr>
        <w:t>a significant number of consumers prior</w:t>
      </w:r>
      <w:r>
        <w:rPr>
          <w:rFonts w:eastAsiaTheme="minorHAnsi" w:cstheme="minorBidi"/>
          <w:szCs w:val="22"/>
          <w:lang w:val="en-US" w:eastAsia="en-AU" w:bidi="ar-SA"/>
        </w:rPr>
        <w:t xml:space="preserve"> </w:t>
      </w:r>
      <w:r w:rsidRPr="00F80A5B">
        <w:rPr>
          <w:rFonts w:eastAsiaTheme="minorHAnsi" w:cstheme="minorBidi"/>
          <w:szCs w:val="22"/>
          <w:lang w:val="en-US" w:eastAsia="en-AU" w:bidi="ar-SA"/>
        </w:rPr>
        <w:t>to 1958,</w:t>
      </w:r>
      <w:r w:rsidR="00947E2E">
        <w:rPr>
          <w:rFonts w:eastAsiaTheme="minorHAnsi" w:cstheme="minorBidi"/>
          <w:szCs w:val="22"/>
          <w:lang w:val="en-US" w:eastAsia="en-AU" w:bidi="ar-SA"/>
        </w:rPr>
        <w:t xml:space="preserve"> and</w:t>
      </w:r>
      <w:r w:rsidRPr="00F80A5B">
        <w:rPr>
          <w:rFonts w:eastAsiaTheme="minorHAnsi" w:cstheme="minorBidi"/>
          <w:szCs w:val="22"/>
          <w:lang w:val="en-US" w:eastAsia="en-AU" w:bidi="ar-SA"/>
        </w:rPr>
        <w:t xml:space="preserve"> corroborated by other</w:t>
      </w:r>
      <w:r>
        <w:rPr>
          <w:rFonts w:eastAsiaTheme="minorHAnsi" w:cstheme="minorBidi"/>
          <w:szCs w:val="22"/>
          <w:lang w:val="en-US" w:eastAsia="en-AU" w:bidi="ar-SA"/>
        </w:rPr>
        <w:t xml:space="preserve"> available </w:t>
      </w:r>
      <w:r w:rsidRPr="00F80A5B">
        <w:rPr>
          <w:rFonts w:eastAsiaTheme="minorHAnsi" w:cstheme="minorBidi"/>
          <w:szCs w:val="22"/>
          <w:lang w:val="en-US" w:eastAsia="en-AU" w:bidi="ar-SA"/>
        </w:rPr>
        <w:t>evidence</w:t>
      </w:r>
      <w:r>
        <w:rPr>
          <w:rFonts w:eastAsiaTheme="minorHAnsi" w:cstheme="minorBidi"/>
          <w:szCs w:val="22"/>
          <w:lang w:val="en-US" w:eastAsia="en-AU" w:bidi="ar-SA"/>
        </w:rPr>
        <w:t xml:space="preserve"> (</w:t>
      </w:r>
      <w:r w:rsidR="00B649CA">
        <w:rPr>
          <w:rFonts w:eastAsiaTheme="minorHAnsi" w:cstheme="minorBidi"/>
          <w:szCs w:val="22"/>
          <w:lang w:val="en-US" w:eastAsia="en-AU" w:bidi="ar-SA"/>
        </w:rPr>
        <w:t>Federal Register 1999</w:t>
      </w:r>
      <w:r>
        <w:rPr>
          <w:rFonts w:eastAsiaTheme="minorHAnsi" w:cstheme="minorBidi"/>
          <w:szCs w:val="22"/>
          <w:lang w:val="en-US" w:eastAsia="en-AU" w:bidi="ar-SA"/>
        </w:rPr>
        <w:t xml:space="preserve">). </w:t>
      </w:r>
    </w:p>
    <w:p w14:paraId="5F728B9A" w14:textId="577551A4" w:rsidR="007F4A66" w:rsidRPr="006F610D" w:rsidRDefault="006F610D" w:rsidP="00F21A4E">
      <w:pPr>
        <w:pStyle w:val="Heading2"/>
        <w:rPr>
          <w:lang w:eastAsia="en-AU"/>
        </w:rPr>
      </w:pPr>
      <w:bookmarkStart w:id="72" w:name="_Toc53649920"/>
      <w:bookmarkStart w:id="73" w:name="_Toc71123624"/>
      <w:r w:rsidRPr="006F610D">
        <w:rPr>
          <w:lang w:eastAsia="en-AU"/>
        </w:rPr>
        <w:t>3.5</w:t>
      </w:r>
      <w:r w:rsidR="006B7019">
        <w:rPr>
          <w:lang w:eastAsia="en-AU"/>
        </w:rPr>
        <w:tab/>
      </w:r>
      <w:r w:rsidRPr="006F610D">
        <w:rPr>
          <w:lang w:eastAsia="en-AU"/>
        </w:rPr>
        <w:t>Dietary exposure assessment</w:t>
      </w:r>
      <w:bookmarkEnd w:id="72"/>
      <w:bookmarkEnd w:id="73"/>
    </w:p>
    <w:p w14:paraId="6FE02FCA" w14:textId="71FDF006" w:rsidR="006F610D" w:rsidRDefault="006F610D" w:rsidP="006F610D">
      <w:r>
        <w:t>The objective of this dietary exposure assessment is to review the budget method calculation presented by the applicant as</w:t>
      </w:r>
      <w:r w:rsidR="009D03BA">
        <w:t xml:space="preserve"> a ‘</w:t>
      </w:r>
      <w:r>
        <w:t>maximum worse case</w:t>
      </w:r>
      <w:r w:rsidR="009D03BA">
        <w:t>’</w:t>
      </w:r>
      <w:r>
        <w:t xml:space="preserve"> approach to estimating likely levels of dietary exposure assuming all added subtilisin remained in the food.</w:t>
      </w:r>
    </w:p>
    <w:p w14:paraId="06964568" w14:textId="77777777" w:rsidR="006F610D" w:rsidRDefault="006F610D" w:rsidP="006F610D"/>
    <w:p w14:paraId="4DF16559" w14:textId="77777777" w:rsidR="006F610D" w:rsidRDefault="006F610D" w:rsidP="006F610D">
      <w:r>
        <w:t>The budget method is a valid screening tool for estimating the theoretical maximum daily intake (TMDI) of a food additive (Douglass et al 1997). The calculation is based on physiological food and liquid requirements, the food additive concentration in foods and beverages, and the proportion of foods and beverages that may contain the food additive. The TMDI can then compared to an ADI or a NOAEL to estimate a margin of exposure for risk characterisation purposes. In this case, given the application is only applicable to potable alcohol, the solid food component of the budget method has not been included in the calculation.</w:t>
      </w:r>
    </w:p>
    <w:p w14:paraId="40C9D482" w14:textId="77777777" w:rsidR="006F610D" w:rsidRDefault="006F610D" w:rsidP="006F610D"/>
    <w:p w14:paraId="19EA5C84" w14:textId="7E093C64" w:rsidR="006F610D" w:rsidRDefault="006F610D" w:rsidP="006F610D">
      <w:r>
        <w:t>In their budget method calculation the applicant has made the following assumptions:</w:t>
      </w:r>
    </w:p>
    <w:p w14:paraId="435EC229" w14:textId="77777777" w:rsidR="009D03BA" w:rsidRDefault="009D03BA" w:rsidP="006F610D"/>
    <w:p w14:paraId="4EEBECE6" w14:textId="4BC24865" w:rsidR="006F610D" w:rsidRDefault="00F21A4E" w:rsidP="009D03BA">
      <w:pPr>
        <w:pStyle w:val="FSBullet1"/>
      </w:pPr>
      <w:r>
        <w:t>m</w:t>
      </w:r>
      <w:r w:rsidR="006F610D">
        <w:t>aximum physiological requirement for liquids (other than milk) is 100 mL/kg body weight/day (the standard level used in a budget method calculation)</w:t>
      </w:r>
    </w:p>
    <w:p w14:paraId="4BEC0F31" w14:textId="7E5E08FF" w:rsidR="006F610D" w:rsidRDefault="00F21A4E" w:rsidP="009D03BA">
      <w:pPr>
        <w:pStyle w:val="FSBullet1"/>
      </w:pPr>
      <w:r>
        <w:t>d</w:t>
      </w:r>
      <w:r w:rsidR="006F610D">
        <w:t>aily consumption of processed non-milk beverages is 25 mL/kg body weight/day assuming 25% of non-milk beverages are processed</w:t>
      </w:r>
    </w:p>
    <w:p w14:paraId="3A0FAA43" w14:textId="0ABE0CC1" w:rsidR="006F610D" w:rsidRDefault="00F21A4E" w:rsidP="009D03BA">
      <w:pPr>
        <w:pStyle w:val="FSBullet1"/>
      </w:pPr>
      <w:r>
        <w:t>a</w:t>
      </w:r>
      <w:r w:rsidR="006F610D">
        <w:t xml:space="preserve">ll processed beverages contain 12% starch hydrolysates </w:t>
      </w:r>
    </w:p>
    <w:p w14:paraId="60851547" w14:textId="07377703" w:rsidR="00542EAE" w:rsidRDefault="00F21A4E" w:rsidP="009D03BA">
      <w:pPr>
        <w:pStyle w:val="FSBullet1"/>
      </w:pPr>
      <w:r>
        <w:t>l</w:t>
      </w:r>
      <w:r w:rsidR="006F610D">
        <w:t>iquid density ~ 1</w:t>
      </w:r>
    </w:p>
    <w:p w14:paraId="06038F8E" w14:textId="3C2A5848" w:rsidR="006F610D" w:rsidRDefault="00CC40EA" w:rsidP="009D03BA">
      <w:pPr>
        <w:pStyle w:val="FSBullet1"/>
      </w:pPr>
      <w:r>
        <w:t>a</w:t>
      </w:r>
      <w:r w:rsidR="00542EAE">
        <w:t>ll of the enzyme remains in the final food</w:t>
      </w:r>
      <w:r w:rsidR="006F610D">
        <w:t>.</w:t>
      </w:r>
    </w:p>
    <w:p w14:paraId="51A6EB70" w14:textId="77777777" w:rsidR="006F610D" w:rsidRDefault="006F610D" w:rsidP="006F610D"/>
    <w:p w14:paraId="6FBD629D" w14:textId="4FE1DC8D" w:rsidR="006F610D" w:rsidRPr="00206383" w:rsidRDefault="006F610D" w:rsidP="006F610D">
      <w:pPr>
        <w:rPr>
          <w:lang w:eastAsia="en-AU" w:bidi="ar-SA"/>
        </w:rPr>
      </w:pPr>
      <w:r>
        <w:t>Providing daily consumption of processed non-milk beverages is 25 mL/kg body weight/day, this equates to a consumption of 3.0 g starch derived dry matter/kg body weight</w:t>
      </w:r>
      <w:r w:rsidR="00A23012">
        <w:t>/day</w:t>
      </w:r>
      <w:r>
        <w:t>. The applicant calculates that as the highest proposed use level of subtilisin is equivalent to 9 mg TOS/kg starch dry matter, the estimated TDMI = 0.03 mg TOS/kg</w:t>
      </w:r>
      <w:r w:rsidR="00993285">
        <w:t xml:space="preserve"> </w:t>
      </w:r>
      <w:r w:rsidR="00A23012">
        <w:t>body weight</w:t>
      </w:r>
      <w:r>
        <w:t xml:space="preserve">/day. FSANZ has reviewed the assumptions and </w:t>
      </w:r>
      <w:r w:rsidR="007D00C8">
        <w:t>accepts</w:t>
      </w:r>
      <w:r>
        <w:t xml:space="preserve"> the calculation.</w:t>
      </w:r>
      <w:r w:rsidR="00542EAE">
        <w:t xml:space="preserve"> This is likely to be an overesti</w:t>
      </w:r>
      <w:r w:rsidR="00472CD2">
        <w:t>mate</w:t>
      </w:r>
      <w:r w:rsidR="00542EAE">
        <w:t xml:space="preserve"> of the dietary </w:t>
      </w:r>
      <w:r w:rsidR="00472CD2">
        <w:t>exposure</w:t>
      </w:r>
      <w:r w:rsidR="00542EAE">
        <w:t xml:space="preserve"> given </w:t>
      </w:r>
      <w:r w:rsidR="00472CD2">
        <w:t xml:space="preserve">the inherence conservatisms in the budget method and </w:t>
      </w:r>
      <w:r w:rsidR="00542EAE">
        <w:t>that it was assumed that the enzyme remains in the final food</w:t>
      </w:r>
      <w:r w:rsidR="00472CD2">
        <w:t xml:space="preserve">, </w:t>
      </w:r>
      <w:r w:rsidR="00542EAE">
        <w:t>where as it is likely to be removed in the processing steps used to produce the potable alcohol</w:t>
      </w:r>
      <w:r w:rsidR="00472CD2">
        <w:t>.</w:t>
      </w:r>
    </w:p>
    <w:p w14:paraId="28498ECE" w14:textId="42BF4C89" w:rsidR="005C6C42" w:rsidRDefault="006B7019" w:rsidP="006B7019">
      <w:pPr>
        <w:pStyle w:val="Heading1"/>
      </w:pPr>
      <w:bookmarkStart w:id="74" w:name="_Toc53649921"/>
      <w:bookmarkStart w:id="75" w:name="_Toc71123625"/>
      <w:r>
        <w:t>4</w:t>
      </w:r>
      <w:r>
        <w:tab/>
      </w:r>
      <w:r w:rsidR="005C6C42">
        <w:t>Discussion</w:t>
      </w:r>
      <w:bookmarkEnd w:id="74"/>
      <w:bookmarkEnd w:id="75"/>
    </w:p>
    <w:p w14:paraId="3CDC11A1" w14:textId="14364F34" w:rsidR="00B97774" w:rsidRDefault="00B97774" w:rsidP="00B97774">
      <w:r>
        <w:t>The safety assessment concluded that</w:t>
      </w:r>
      <w:r w:rsidRPr="00AF2B14">
        <w:t xml:space="preserve"> the</w:t>
      </w:r>
      <w:r>
        <w:t>re are no safety concerns from the</w:t>
      </w:r>
      <w:r w:rsidRPr="00AF2B14">
        <w:t xml:space="preserve"> </w:t>
      </w:r>
      <w:r>
        <w:t xml:space="preserve">use of </w:t>
      </w:r>
      <w:r w:rsidRPr="00475A54">
        <w:t xml:space="preserve">subtilisin from a </w:t>
      </w:r>
      <w:r w:rsidR="00ED26FD">
        <w:t>GM</w:t>
      </w:r>
      <w:r w:rsidRPr="00475A54">
        <w:t xml:space="preserve"> strain of </w:t>
      </w:r>
      <w:r>
        <w:rPr>
          <w:i/>
        </w:rPr>
        <w:t>B.</w:t>
      </w:r>
      <w:r w:rsidRPr="00B05CCA">
        <w:rPr>
          <w:i/>
        </w:rPr>
        <w:t xml:space="preserve"> licheniformis</w:t>
      </w:r>
      <w:r w:rsidRPr="00475A54">
        <w:t xml:space="preserve"> containing the subtilisin gene from </w:t>
      </w:r>
      <w:r>
        <w:rPr>
          <w:i/>
        </w:rPr>
        <w:t>P.</w:t>
      </w:r>
      <w:r w:rsidRPr="00B05CCA">
        <w:rPr>
          <w:i/>
        </w:rPr>
        <w:t xml:space="preserve"> furiosus</w:t>
      </w:r>
      <w:r w:rsidRPr="00475A54">
        <w:t>, as a processing aid</w:t>
      </w:r>
      <w:r>
        <w:t xml:space="preserve"> at GMP levels</w:t>
      </w:r>
      <w:r w:rsidRPr="00475A54">
        <w:t xml:space="preserve"> in the production of potable alcohol</w:t>
      </w:r>
      <w:r>
        <w:t>.</w:t>
      </w:r>
      <w:r w:rsidR="00424B5C">
        <w:t xml:space="preserve"> </w:t>
      </w:r>
      <w:r w:rsidR="00424B5C">
        <w:rPr>
          <w:rFonts w:eastAsiaTheme="minorHAnsi" w:cstheme="minorBidi"/>
          <w:szCs w:val="22"/>
          <w:lang w:val="en-US" w:eastAsia="en-AU" w:bidi="ar-SA"/>
        </w:rPr>
        <w:t>Subtilisins from other sources have a long history of safe use in food.</w:t>
      </w:r>
    </w:p>
    <w:p w14:paraId="5765463C" w14:textId="77777777" w:rsidR="00B97774" w:rsidRDefault="00B97774" w:rsidP="005C6C42"/>
    <w:p w14:paraId="634460AF" w14:textId="293291F9" w:rsidR="005C6C42" w:rsidRDefault="005C6C42" w:rsidP="005C6C42">
      <w:pPr>
        <w:rPr>
          <w:lang w:bidi="ar-SA"/>
        </w:rPr>
      </w:pPr>
      <w:r>
        <w:rPr>
          <w:i/>
          <w:lang w:bidi="ar-SA"/>
        </w:rPr>
        <w:t>B. licheniformis</w:t>
      </w:r>
      <w:r w:rsidRPr="0041182E">
        <w:rPr>
          <w:lang w:bidi="ar-SA"/>
        </w:rPr>
        <w:t xml:space="preserve"> h</w:t>
      </w:r>
      <w:r>
        <w:rPr>
          <w:lang w:bidi="ar-SA"/>
        </w:rPr>
        <w:t>as a long history of safe use as a</w:t>
      </w:r>
      <w:r w:rsidRPr="0041182E">
        <w:rPr>
          <w:lang w:bidi="ar-SA"/>
        </w:rPr>
        <w:t xml:space="preserve"> source </w:t>
      </w:r>
      <w:r w:rsidR="00274932">
        <w:rPr>
          <w:lang w:bidi="ar-SA"/>
        </w:rPr>
        <w:t xml:space="preserve">microorganism </w:t>
      </w:r>
      <w:r w:rsidRPr="0041182E">
        <w:rPr>
          <w:lang w:bidi="ar-SA"/>
        </w:rPr>
        <w:t>of enzyme processing aids, including several that are already permitted in the Code. Th</w:t>
      </w:r>
      <w:r>
        <w:rPr>
          <w:lang w:bidi="ar-SA"/>
        </w:rPr>
        <w:t>e</w:t>
      </w:r>
      <w:r w:rsidRPr="0041182E">
        <w:rPr>
          <w:lang w:bidi="ar-SA"/>
        </w:rPr>
        <w:t xml:space="preserve"> </w:t>
      </w:r>
      <w:r>
        <w:rPr>
          <w:lang w:bidi="ar-SA"/>
        </w:rPr>
        <w:t>bacterium</w:t>
      </w:r>
      <w:r w:rsidRPr="0041182E">
        <w:rPr>
          <w:lang w:bidi="ar-SA"/>
        </w:rPr>
        <w:t xml:space="preserve"> is neither toxigenic nor pathogenic. Characterisation of the </w:t>
      </w:r>
      <w:r>
        <w:rPr>
          <w:lang w:bidi="ar-SA"/>
        </w:rPr>
        <w:t>GM</w:t>
      </w:r>
      <w:r w:rsidRPr="0041182E">
        <w:rPr>
          <w:lang w:bidi="ar-SA"/>
        </w:rPr>
        <w:t xml:space="preserve"> production strain</w:t>
      </w:r>
      <w:r>
        <w:rPr>
          <w:lang w:bidi="ar-SA"/>
        </w:rPr>
        <w:t xml:space="preserve"> </w:t>
      </w:r>
      <w:r w:rsidRPr="0041182E">
        <w:rPr>
          <w:lang w:bidi="ar-SA"/>
        </w:rPr>
        <w:t xml:space="preserve">confirmed </w:t>
      </w:r>
      <w:r>
        <w:rPr>
          <w:lang w:bidi="ar-SA"/>
        </w:rPr>
        <w:t xml:space="preserve">both </w:t>
      </w:r>
      <w:r w:rsidRPr="0041182E">
        <w:rPr>
          <w:lang w:bidi="ar-SA"/>
        </w:rPr>
        <w:t xml:space="preserve">presence and </w:t>
      </w:r>
      <w:r>
        <w:rPr>
          <w:lang w:bidi="ar-SA"/>
        </w:rPr>
        <w:t xml:space="preserve">stable </w:t>
      </w:r>
      <w:r w:rsidRPr="0041182E">
        <w:rPr>
          <w:lang w:bidi="ar-SA"/>
        </w:rPr>
        <w:t xml:space="preserve">inheritance of the inserted </w:t>
      </w:r>
      <w:r>
        <w:rPr>
          <w:lang w:bidi="ar-SA"/>
        </w:rPr>
        <w:t>subtilisin</w:t>
      </w:r>
      <w:r w:rsidRPr="0041182E">
        <w:rPr>
          <w:lang w:bidi="ar-SA"/>
        </w:rPr>
        <w:t xml:space="preserve"> gene.</w:t>
      </w:r>
    </w:p>
    <w:p w14:paraId="36E09F5C" w14:textId="78E9C535" w:rsidR="0029371D" w:rsidRDefault="0029371D" w:rsidP="00770C2B">
      <w:pPr>
        <w:rPr>
          <w:rFonts w:eastAsiaTheme="minorHAnsi" w:cstheme="minorBidi"/>
          <w:szCs w:val="22"/>
          <w:lang w:val="en-US" w:eastAsia="en-AU" w:bidi="ar-SA"/>
        </w:rPr>
      </w:pPr>
    </w:p>
    <w:p w14:paraId="7E4F2054" w14:textId="76B67E53" w:rsidR="001B327D" w:rsidRDefault="00281237" w:rsidP="00770C2B">
      <w:pPr>
        <w:rPr>
          <w:rFonts w:eastAsiaTheme="minorHAnsi" w:cstheme="minorBidi"/>
          <w:szCs w:val="22"/>
          <w:lang w:val="en-US" w:eastAsia="en-AU" w:bidi="ar-SA"/>
        </w:rPr>
      </w:pPr>
      <w:r>
        <w:rPr>
          <w:rFonts w:eastAsiaTheme="minorHAnsi" w:cstheme="minorBidi"/>
          <w:szCs w:val="22"/>
          <w:lang w:val="en-US" w:eastAsia="en-AU" w:bidi="ar-SA"/>
        </w:rPr>
        <w:t xml:space="preserve">The applicant provided a 13-week toxicity study in rats and </w:t>
      </w:r>
      <w:r w:rsidRPr="005D7C80">
        <w:rPr>
          <w:rFonts w:eastAsiaTheme="minorHAnsi" w:cstheme="minorBidi"/>
          <w:i/>
          <w:szCs w:val="22"/>
          <w:lang w:val="en-US" w:eastAsia="en-AU" w:bidi="ar-SA"/>
        </w:rPr>
        <w:t>in vitro</w:t>
      </w:r>
      <w:r>
        <w:rPr>
          <w:rFonts w:eastAsiaTheme="minorHAnsi" w:cstheme="minorBidi"/>
          <w:szCs w:val="22"/>
          <w:lang w:val="en-US" w:eastAsia="en-AU" w:bidi="ar-SA"/>
        </w:rPr>
        <w:t xml:space="preserve"> genotoxicity studies with </w:t>
      </w:r>
      <w:r>
        <w:rPr>
          <w:rFonts w:eastAsiaTheme="minorHAnsi" w:cstheme="minorBidi"/>
          <w:szCs w:val="22"/>
          <w:lang w:val="en-US" w:eastAsia="en-AU" w:bidi="ar-SA"/>
        </w:rPr>
        <w:lastRenderedPageBreak/>
        <w:t xml:space="preserve">an </w:t>
      </w:r>
      <w:r>
        <w:rPr>
          <w:rFonts w:eastAsiaTheme="minorHAnsi" w:cs="Arial"/>
          <w:szCs w:val="22"/>
          <w:lang w:val="en-US" w:eastAsia="en-AU" w:bidi="ar-SA"/>
        </w:rPr>
        <w:t>α</w:t>
      </w:r>
      <w:r>
        <w:rPr>
          <w:rFonts w:eastAsiaTheme="minorHAnsi" w:cstheme="minorBidi"/>
          <w:szCs w:val="22"/>
          <w:lang w:val="en-US" w:eastAsia="en-AU" w:bidi="ar-SA"/>
        </w:rPr>
        <w:t xml:space="preserve">-amylase produced by a closely related predecessor strain of the </w:t>
      </w:r>
      <w:r w:rsidR="0029371D">
        <w:rPr>
          <w:rFonts w:eastAsiaTheme="minorHAnsi" w:cstheme="minorBidi"/>
          <w:szCs w:val="22"/>
          <w:lang w:val="en-US" w:eastAsia="en-AU" w:bidi="ar-SA"/>
        </w:rPr>
        <w:t xml:space="preserve">subtilisin </w:t>
      </w:r>
      <w:r>
        <w:rPr>
          <w:rFonts w:eastAsiaTheme="minorHAnsi" w:cstheme="minorBidi"/>
          <w:szCs w:val="22"/>
          <w:lang w:val="en-US" w:eastAsia="en-AU" w:bidi="ar-SA"/>
        </w:rPr>
        <w:t>production strain. This</w:t>
      </w:r>
      <w:r w:rsidRPr="00476C76">
        <w:rPr>
          <w:rFonts w:eastAsiaTheme="minorHAnsi" w:cstheme="minorBidi"/>
          <w:szCs w:val="22"/>
          <w:lang w:val="en-US" w:eastAsia="en-AU" w:bidi="ar-SA"/>
        </w:rPr>
        <w:t xml:space="preserve"> </w:t>
      </w:r>
      <w:r>
        <w:rPr>
          <w:rFonts w:eastAsiaTheme="minorHAnsi" w:cs="Arial"/>
          <w:szCs w:val="22"/>
          <w:lang w:val="en-US" w:eastAsia="en-AU" w:bidi="ar-SA"/>
        </w:rPr>
        <w:t>α</w:t>
      </w:r>
      <w:r w:rsidRPr="00476C76">
        <w:rPr>
          <w:rFonts w:eastAsiaTheme="minorHAnsi" w:cstheme="minorBidi"/>
          <w:szCs w:val="22"/>
          <w:lang w:val="en-US" w:eastAsia="en-AU" w:bidi="ar-SA"/>
        </w:rPr>
        <w:t>-amylase was chosen as most appropriate</w:t>
      </w:r>
      <w:r>
        <w:rPr>
          <w:rFonts w:eastAsiaTheme="minorHAnsi" w:cstheme="minorBidi"/>
          <w:szCs w:val="22"/>
          <w:lang w:val="en-US" w:eastAsia="en-AU" w:bidi="ar-SA"/>
        </w:rPr>
        <w:t xml:space="preserve"> for assessment of subtilisin</w:t>
      </w:r>
      <w:r w:rsidRPr="00476C76">
        <w:rPr>
          <w:rFonts w:eastAsiaTheme="minorHAnsi" w:cstheme="minorBidi"/>
          <w:szCs w:val="22"/>
          <w:lang w:val="en-US" w:eastAsia="en-AU" w:bidi="ar-SA"/>
        </w:rPr>
        <w:t>, because</w:t>
      </w:r>
      <w:r>
        <w:rPr>
          <w:rFonts w:eastAsiaTheme="minorHAnsi" w:cstheme="minorBidi"/>
          <w:szCs w:val="22"/>
          <w:lang w:val="en-US" w:eastAsia="en-AU" w:bidi="ar-SA"/>
        </w:rPr>
        <w:t xml:space="preserve"> t</w:t>
      </w:r>
      <w:r w:rsidRPr="00476C76">
        <w:rPr>
          <w:rFonts w:eastAsiaTheme="minorHAnsi" w:cstheme="minorBidi"/>
          <w:szCs w:val="22"/>
          <w:lang w:val="en-US" w:eastAsia="en-AU" w:bidi="ar-SA"/>
        </w:rPr>
        <w:t>he</w:t>
      </w:r>
      <w:r>
        <w:rPr>
          <w:rFonts w:eastAsiaTheme="minorHAnsi" w:cstheme="minorBidi"/>
          <w:szCs w:val="22"/>
          <w:lang w:val="en-US" w:eastAsia="en-AU" w:bidi="ar-SA"/>
        </w:rPr>
        <w:t xml:space="preserve"> recipient strain of the</w:t>
      </w:r>
      <w:r w:rsidRPr="00476C76">
        <w:rPr>
          <w:rFonts w:eastAsiaTheme="minorHAnsi" w:cstheme="minorBidi"/>
          <w:szCs w:val="22"/>
          <w:lang w:val="en-US" w:eastAsia="en-AU" w:bidi="ar-SA"/>
        </w:rPr>
        <w:t xml:space="preserve"> </w:t>
      </w:r>
      <w:r>
        <w:rPr>
          <w:rFonts w:eastAsiaTheme="minorHAnsi" w:cs="Arial"/>
          <w:szCs w:val="22"/>
          <w:lang w:val="en-US" w:eastAsia="en-AU" w:bidi="ar-SA"/>
        </w:rPr>
        <w:t>α</w:t>
      </w:r>
      <w:r w:rsidRPr="00476C76">
        <w:rPr>
          <w:rFonts w:eastAsiaTheme="minorHAnsi" w:cstheme="minorBidi"/>
          <w:szCs w:val="22"/>
          <w:lang w:val="en-US" w:eastAsia="en-AU" w:bidi="ar-SA"/>
        </w:rPr>
        <w:t xml:space="preserve">-amylase </w:t>
      </w:r>
      <w:r>
        <w:rPr>
          <w:rFonts w:eastAsiaTheme="minorHAnsi" w:cstheme="minorBidi"/>
          <w:szCs w:val="22"/>
          <w:lang w:val="en-US" w:eastAsia="en-AU" w:bidi="ar-SA"/>
        </w:rPr>
        <w:t xml:space="preserve">production strain </w:t>
      </w:r>
      <w:r w:rsidRPr="00476C76">
        <w:rPr>
          <w:rFonts w:eastAsiaTheme="minorHAnsi" w:cstheme="minorBidi"/>
          <w:szCs w:val="22"/>
          <w:lang w:val="en-US" w:eastAsia="en-AU" w:bidi="ar-SA"/>
        </w:rPr>
        <w:t>is identical to the one for the subtilisin production strain</w:t>
      </w:r>
      <w:r>
        <w:rPr>
          <w:rFonts w:eastAsiaTheme="minorHAnsi" w:cstheme="minorBidi"/>
          <w:szCs w:val="22"/>
          <w:lang w:val="en-US" w:eastAsia="en-AU" w:bidi="ar-SA"/>
        </w:rPr>
        <w:t xml:space="preserve">, and the </w:t>
      </w:r>
      <w:r w:rsidRPr="00476C76">
        <w:rPr>
          <w:rFonts w:eastAsiaTheme="minorHAnsi" w:cstheme="minorBidi"/>
          <w:szCs w:val="22"/>
          <w:lang w:val="en-US" w:eastAsia="en-AU" w:bidi="ar-SA"/>
        </w:rPr>
        <w:t>method used to insert the DNA is identical to the one described for the construction of the subtilisin producti</w:t>
      </w:r>
      <w:r>
        <w:rPr>
          <w:rFonts w:eastAsiaTheme="minorHAnsi" w:cstheme="minorBidi"/>
          <w:szCs w:val="22"/>
          <w:lang w:val="en-US" w:eastAsia="en-AU" w:bidi="ar-SA"/>
        </w:rPr>
        <w:t>on strain</w:t>
      </w:r>
      <w:r w:rsidRPr="00D35739">
        <w:rPr>
          <w:rFonts w:eastAsiaTheme="minorHAnsi" w:cstheme="minorBidi"/>
          <w:szCs w:val="22"/>
          <w:lang w:val="en-US" w:eastAsia="en-AU" w:bidi="ar-SA"/>
        </w:rPr>
        <w:t>.</w:t>
      </w:r>
      <w:r w:rsidR="001B327D">
        <w:rPr>
          <w:rFonts w:eastAsiaTheme="minorHAnsi" w:cstheme="minorBidi"/>
          <w:szCs w:val="22"/>
          <w:lang w:val="en-US" w:eastAsia="en-AU" w:bidi="ar-SA"/>
        </w:rPr>
        <w:t xml:space="preserve"> </w:t>
      </w:r>
      <w:r w:rsidR="001B327D" w:rsidRPr="001B327D">
        <w:rPr>
          <w:rFonts w:eastAsiaTheme="minorHAnsi" w:cstheme="minorBidi"/>
          <w:szCs w:val="22"/>
          <w:lang w:val="en-US" w:eastAsia="en-AU" w:bidi="ar-SA"/>
        </w:rPr>
        <w:t xml:space="preserve">The α-amylase was not genotoxic </w:t>
      </w:r>
      <w:r w:rsidR="001B327D" w:rsidRPr="0029371D">
        <w:rPr>
          <w:rFonts w:eastAsiaTheme="minorHAnsi" w:cstheme="minorBidi"/>
          <w:i/>
          <w:szCs w:val="22"/>
          <w:lang w:val="en-US" w:eastAsia="en-AU" w:bidi="ar-SA"/>
        </w:rPr>
        <w:t>in vitro</w:t>
      </w:r>
      <w:r w:rsidR="001B327D" w:rsidRPr="001B327D">
        <w:rPr>
          <w:rFonts w:eastAsiaTheme="minorHAnsi" w:cstheme="minorBidi"/>
          <w:szCs w:val="22"/>
          <w:lang w:val="en-US" w:eastAsia="en-AU" w:bidi="ar-SA"/>
        </w:rPr>
        <w:t xml:space="preserve"> and caused no adverse effects in a 13-week toxicity study in rats. The NOAEL was 796 mg/kg bw/day TOS, the highest dose tested.</w:t>
      </w:r>
    </w:p>
    <w:p w14:paraId="522F2396" w14:textId="42F448C1" w:rsidR="004B1072" w:rsidRDefault="004B1072" w:rsidP="005C6C42">
      <w:pPr>
        <w:rPr>
          <w:lang w:bidi="ar-SA"/>
        </w:rPr>
      </w:pPr>
    </w:p>
    <w:p w14:paraId="3097FC0A" w14:textId="32AC28D1" w:rsidR="004B1072" w:rsidRDefault="004B1072" w:rsidP="005C6C42">
      <w:pPr>
        <w:rPr>
          <w:lang w:bidi="ar-SA"/>
        </w:rPr>
      </w:pPr>
      <w:r>
        <w:rPr>
          <w:lang w:bidi="ar-SA"/>
        </w:rPr>
        <w:t xml:space="preserve">A comparison of the NOAEL of the closely related </w:t>
      </w:r>
      <w:r>
        <w:rPr>
          <w:rFonts w:cs="Arial"/>
          <w:lang w:bidi="ar-SA"/>
        </w:rPr>
        <w:t>α</w:t>
      </w:r>
      <w:r>
        <w:rPr>
          <w:lang w:bidi="ar-SA"/>
        </w:rPr>
        <w:t>-amylase with the estimated TMDI (0.03 mg/kg bw/day TOS) indicates t</w:t>
      </w:r>
      <w:r w:rsidR="00A16428">
        <w:rPr>
          <w:lang w:bidi="ar-SA"/>
        </w:rPr>
        <w:t>hat the Margin of Exposure</w:t>
      </w:r>
      <w:r>
        <w:rPr>
          <w:lang w:bidi="ar-SA"/>
        </w:rPr>
        <w:t xml:space="preserve"> between the NOAEL and TMDI is more than 26,500. </w:t>
      </w:r>
    </w:p>
    <w:p w14:paraId="30AF4291" w14:textId="3F764F53" w:rsidR="004B1072" w:rsidRDefault="004B1072" w:rsidP="005C6C42">
      <w:pPr>
        <w:rPr>
          <w:lang w:bidi="ar-SA"/>
        </w:rPr>
      </w:pPr>
    </w:p>
    <w:p w14:paraId="513E0133" w14:textId="34CF1969" w:rsidR="005C6C42" w:rsidRDefault="00B0418F" w:rsidP="005C6C42">
      <w:pPr>
        <w:rPr>
          <w:lang w:bidi="ar-SA"/>
        </w:rPr>
      </w:pPr>
      <w:r>
        <w:rPr>
          <w:lang w:bidi="ar-SA"/>
        </w:rPr>
        <w:t>A</w:t>
      </w:r>
      <w:r w:rsidR="00905D4B" w:rsidRPr="00F41170">
        <w:rPr>
          <w:lang w:bidi="ar-SA"/>
        </w:rPr>
        <w:t xml:space="preserve"> degree of amino acid sequence homology with a food allergen from melon</w:t>
      </w:r>
      <w:r>
        <w:rPr>
          <w:lang w:bidi="ar-SA"/>
        </w:rPr>
        <w:t xml:space="preserve"> was identified</w:t>
      </w:r>
      <w:r w:rsidR="00905D4B" w:rsidRPr="00F41170">
        <w:rPr>
          <w:lang w:bidi="ar-SA"/>
        </w:rPr>
        <w:t xml:space="preserve">, but the enzyme is considered unlikely to pose an allergenicity concern because a study with another subtilisin from </w:t>
      </w:r>
      <w:r w:rsidR="00905D4B" w:rsidRPr="00F41170">
        <w:rPr>
          <w:i/>
          <w:lang w:bidi="ar-SA"/>
        </w:rPr>
        <w:t>B. licheniformis</w:t>
      </w:r>
      <w:r w:rsidR="00905D4B" w:rsidRPr="00F41170">
        <w:rPr>
          <w:lang w:bidi="ar-SA"/>
        </w:rPr>
        <w:t xml:space="preserve"> found </w:t>
      </w:r>
      <w:r w:rsidR="00905D4B" w:rsidRPr="00905681">
        <w:rPr>
          <w:lang w:bidi="ar-SA"/>
        </w:rPr>
        <w:t xml:space="preserve">no evidence of </w:t>
      </w:r>
      <w:r w:rsidR="00AE54A5">
        <w:rPr>
          <w:lang w:bidi="ar-SA"/>
        </w:rPr>
        <w:t xml:space="preserve">food </w:t>
      </w:r>
      <w:r w:rsidR="00905D4B" w:rsidRPr="00905681">
        <w:rPr>
          <w:lang w:bidi="ar-SA"/>
        </w:rPr>
        <w:t>allergenicity,</w:t>
      </w:r>
      <w:r w:rsidR="00401AFE">
        <w:rPr>
          <w:lang w:bidi="ar-SA"/>
        </w:rPr>
        <w:t xml:space="preserve"> exposure is expected to be very low</w:t>
      </w:r>
      <w:r w:rsidR="00281237">
        <w:rPr>
          <w:lang w:bidi="ar-SA"/>
        </w:rPr>
        <w:t xml:space="preserve"> and there is a long history of safe use of subtilisin enzymes from other sources with</w:t>
      </w:r>
      <w:r w:rsidR="00905D4B" w:rsidRPr="00905681">
        <w:rPr>
          <w:lang w:bidi="ar-SA"/>
        </w:rPr>
        <w:t xml:space="preserve"> no reports of food allergy</w:t>
      </w:r>
      <w:r w:rsidR="00281237">
        <w:rPr>
          <w:lang w:bidi="ar-SA"/>
        </w:rPr>
        <w:t xml:space="preserve"> identified</w:t>
      </w:r>
      <w:r w:rsidR="00905D4B" w:rsidRPr="00905681">
        <w:rPr>
          <w:lang w:bidi="ar-SA"/>
        </w:rPr>
        <w:t>.</w:t>
      </w:r>
      <w:r w:rsidR="004B1072" w:rsidRPr="00905681">
        <w:rPr>
          <w:lang w:bidi="ar-SA"/>
        </w:rPr>
        <w:t xml:space="preserve"> </w:t>
      </w:r>
    </w:p>
    <w:p w14:paraId="36B27A22" w14:textId="7BFFEA55" w:rsidR="005C6C42" w:rsidRDefault="006B7019" w:rsidP="006B7019">
      <w:pPr>
        <w:pStyle w:val="Heading1"/>
      </w:pPr>
      <w:bookmarkStart w:id="76" w:name="_Toc39584767"/>
      <w:bookmarkStart w:id="77" w:name="_Toc53649922"/>
      <w:bookmarkStart w:id="78" w:name="_Toc71123626"/>
      <w:r>
        <w:t>5</w:t>
      </w:r>
      <w:r>
        <w:tab/>
      </w:r>
      <w:r w:rsidR="005C6C42" w:rsidRPr="00521FAD">
        <w:t>Conclusion</w:t>
      </w:r>
      <w:bookmarkEnd w:id="76"/>
      <w:bookmarkEnd w:id="77"/>
      <w:bookmarkEnd w:id="78"/>
    </w:p>
    <w:p w14:paraId="48A35AA5" w14:textId="771A7E59" w:rsidR="000A4A62" w:rsidRPr="006B7019" w:rsidRDefault="005C6C42" w:rsidP="006B7019">
      <w:pPr>
        <w:widowControl/>
        <w:rPr>
          <w:b/>
          <w:lang w:eastAsia="en-AU" w:bidi="ar-SA"/>
        </w:rPr>
      </w:pPr>
      <w:r w:rsidRPr="00B511CA">
        <w:rPr>
          <w:lang w:eastAsia="en-AU" w:bidi="ar-SA"/>
        </w:rPr>
        <w:t xml:space="preserve">Based on the reviewed toxicological data, it is concluded that in the absence of any identifiable hazard an Acceptable Daily Intake (ADI) ‘not specified’ is appropriate. </w:t>
      </w:r>
    </w:p>
    <w:p w14:paraId="3D74FDC6" w14:textId="452AF06E" w:rsidR="00475A54" w:rsidRDefault="006B7019" w:rsidP="00C01858">
      <w:pPr>
        <w:pStyle w:val="Heading1"/>
      </w:pPr>
      <w:bookmarkStart w:id="79" w:name="_Toc53649923"/>
      <w:bookmarkStart w:id="80" w:name="_Toc71123627"/>
      <w:r>
        <w:t>6</w:t>
      </w:r>
      <w:r>
        <w:tab/>
      </w:r>
      <w:r w:rsidR="002A26CC">
        <w:t>Refer</w:t>
      </w:r>
      <w:r w:rsidR="00C01858">
        <w:t>e</w:t>
      </w:r>
      <w:r w:rsidR="002A26CC">
        <w:t>nces</w:t>
      </w:r>
      <w:bookmarkEnd w:id="79"/>
      <w:bookmarkEnd w:id="80"/>
      <w:r w:rsidR="002A26CC">
        <w:t xml:space="preserve"> </w:t>
      </w:r>
    </w:p>
    <w:p w14:paraId="3CCA2805" w14:textId="439C62A9" w:rsidR="000B751B" w:rsidRDefault="000B751B" w:rsidP="007F4A66">
      <w:pPr>
        <w:rPr>
          <w:sz w:val="20"/>
          <w:szCs w:val="20"/>
        </w:rPr>
      </w:pPr>
      <w:r w:rsidRPr="000B751B">
        <w:rPr>
          <w:sz w:val="20"/>
          <w:szCs w:val="20"/>
        </w:rPr>
        <w:t>Aunstrup K (1979) Production, Isolation, and Economics of Extracellular Enzymes in Applied Biochemistry and Bioengineering, Volume 2, Enzyme Technology, Eds. Wingard, L.B., Katchalski-Katzir, E. and Goldstein, L, pp. 28-68</w:t>
      </w:r>
    </w:p>
    <w:p w14:paraId="375F3415" w14:textId="77777777" w:rsidR="000B751B" w:rsidRDefault="000B751B" w:rsidP="007F4A66">
      <w:pPr>
        <w:rPr>
          <w:sz w:val="20"/>
          <w:szCs w:val="20"/>
        </w:rPr>
      </w:pPr>
    </w:p>
    <w:p w14:paraId="1DFE7363" w14:textId="3656B4B4" w:rsidR="007F4A66" w:rsidRDefault="007F4A66" w:rsidP="007F4A66">
      <w:pPr>
        <w:rPr>
          <w:sz w:val="20"/>
          <w:szCs w:val="20"/>
        </w:rPr>
      </w:pPr>
      <w:r w:rsidRPr="00C33FC5">
        <w:rPr>
          <w:sz w:val="20"/>
          <w:szCs w:val="20"/>
        </w:rPr>
        <w:t>Bindslev-Jensen C, Skov PS, Roggen EL, Hvass P, Brinch DS (2006) Investigation on possible allergenicity of 19 different commercial enzymes used in the food industry. Food and Chemical Toxicology 44: 1909-1915</w:t>
      </w:r>
    </w:p>
    <w:p w14:paraId="2245019B" w14:textId="77777777" w:rsidR="007F4A66" w:rsidRDefault="007F4A66" w:rsidP="000B4825">
      <w:pPr>
        <w:rPr>
          <w:sz w:val="20"/>
          <w:szCs w:val="20"/>
        </w:rPr>
      </w:pPr>
    </w:p>
    <w:p w14:paraId="51A934B9" w14:textId="03104573" w:rsidR="000B4825" w:rsidRPr="000B4825" w:rsidRDefault="000B4825" w:rsidP="000B4825">
      <w:pPr>
        <w:rPr>
          <w:sz w:val="20"/>
          <w:szCs w:val="20"/>
        </w:rPr>
      </w:pPr>
      <w:r w:rsidRPr="000B4825">
        <w:rPr>
          <w:sz w:val="20"/>
          <w:szCs w:val="20"/>
        </w:rPr>
        <w:t xml:space="preserve">Campbell-Platt, G (2018) Food Science and Technology (second edition), John Wiley and Sons, West Sussex  </w:t>
      </w:r>
    </w:p>
    <w:p w14:paraId="7CB8FCD7" w14:textId="77777777" w:rsidR="000B4825" w:rsidRDefault="000B4825" w:rsidP="000B4825"/>
    <w:p w14:paraId="35C0455B" w14:textId="0ED3394A" w:rsidR="000B4825" w:rsidRDefault="000B4825" w:rsidP="000B4825">
      <w:pPr>
        <w:rPr>
          <w:sz w:val="20"/>
          <w:szCs w:val="20"/>
        </w:rPr>
      </w:pPr>
      <w:r w:rsidRPr="000B4825">
        <w:rPr>
          <w:sz w:val="20"/>
          <w:szCs w:val="20"/>
        </w:rPr>
        <w:t>Chaudhary, S., Sagar, S., Kumar, M., Sengar, R.S. and Tomar, A. (2015). The use of enzymes in food processing: A review. South Asian Journal of Food Technology and Environment, 1(3&amp;4): 190-210.</w:t>
      </w:r>
    </w:p>
    <w:p w14:paraId="55A42968" w14:textId="1413A1EB" w:rsidR="004D18F4" w:rsidRDefault="004D18F4" w:rsidP="000B4825">
      <w:pPr>
        <w:rPr>
          <w:sz w:val="20"/>
          <w:szCs w:val="20"/>
        </w:rPr>
      </w:pPr>
    </w:p>
    <w:p w14:paraId="50377170" w14:textId="4D8CC424" w:rsidR="004D18F4" w:rsidRDefault="004D18F4" w:rsidP="000B4825">
      <w:pPr>
        <w:rPr>
          <w:sz w:val="20"/>
          <w:szCs w:val="20"/>
        </w:rPr>
      </w:pPr>
      <w:r>
        <w:rPr>
          <w:sz w:val="20"/>
          <w:szCs w:val="20"/>
        </w:rPr>
        <w:t xml:space="preserve">Covance Laboratories (2013) </w:t>
      </w:r>
      <w:r w:rsidRPr="004D18F4">
        <w:rPr>
          <w:sz w:val="20"/>
          <w:szCs w:val="20"/>
        </w:rPr>
        <w:t>Induction of micronuclei in cultured human peripheral blood lymphocytes</w:t>
      </w:r>
      <w:r>
        <w:rPr>
          <w:sz w:val="20"/>
          <w:szCs w:val="20"/>
        </w:rPr>
        <w:t xml:space="preserve">. </w:t>
      </w:r>
      <w:r w:rsidRPr="004D18F4">
        <w:rPr>
          <w:sz w:val="20"/>
          <w:szCs w:val="20"/>
        </w:rPr>
        <w:t>Amylase, PPY34423</w:t>
      </w:r>
      <w:r>
        <w:rPr>
          <w:sz w:val="20"/>
          <w:szCs w:val="20"/>
        </w:rPr>
        <w:t xml:space="preserve">. </w:t>
      </w:r>
      <w:r w:rsidR="00F02A60">
        <w:rPr>
          <w:sz w:val="20"/>
          <w:szCs w:val="20"/>
        </w:rPr>
        <w:t xml:space="preserve">Covance Laboratories Ltd, Harrogate, England. Covance Study Number 827441. </w:t>
      </w:r>
    </w:p>
    <w:p w14:paraId="3CDCCEBE" w14:textId="0E5518D3" w:rsidR="003C6F5E" w:rsidRDefault="003C6F5E" w:rsidP="000B4825">
      <w:pPr>
        <w:rPr>
          <w:sz w:val="20"/>
          <w:szCs w:val="20"/>
        </w:rPr>
      </w:pPr>
    </w:p>
    <w:p w14:paraId="6498D326" w14:textId="425050BC" w:rsidR="003C6F5E" w:rsidRPr="003C6F5E" w:rsidRDefault="004550B1" w:rsidP="003C6F5E">
      <w:pPr>
        <w:rPr>
          <w:sz w:val="20"/>
          <w:szCs w:val="20"/>
        </w:rPr>
      </w:pPr>
      <w:r>
        <w:rPr>
          <w:sz w:val="20"/>
          <w:szCs w:val="20"/>
        </w:rPr>
        <w:t xml:space="preserve">Covance Laboratories </w:t>
      </w:r>
      <w:r w:rsidR="003C6F5E">
        <w:rPr>
          <w:sz w:val="20"/>
          <w:szCs w:val="20"/>
        </w:rPr>
        <w:t>(2018)</w:t>
      </w:r>
      <w:r w:rsidR="003C6F5E" w:rsidRPr="003C6F5E">
        <w:t xml:space="preserve"> </w:t>
      </w:r>
      <w:r w:rsidR="003C6F5E" w:rsidRPr="003C6F5E">
        <w:rPr>
          <w:sz w:val="20"/>
          <w:szCs w:val="20"/>
        </w:rPr>
        <w:t>Subtilisin, Batch PPA48131: Bacterial Reverse</w:t>
      </w:r>
    </w:p>
    <w:p w14:paraId="71A602A2" w14:textId="020C7B63" w:rsidR="003C6F5E" w:rsidRDefault="003C6F5E" w:rsidP="003C6F5E">
      <w:pPr>
        <w:rPr>
          <w:sz w:val="20"/>
          <w:szCs w:val="20"/>
        </w:rPr>
      </w:pPr>
      <w:r w:rsidRPr="003C6F5E">
        <w:rPr>
          <w:sz w:val="20"/>
          <w:szCs w:val="20"/>
        </w:rPr>
        <w:t>Mutation Assay using a Treat and Plate</w:t>
      </w:r>
      <w:r>
        <w:rPr>
          <w:sz w:val="20"/>
          <w:szCs w:val="20"/>
        </w:rPr>
        <w:t xml:space="preserve"> </w:t>
      </w:r>
      <w:r w:rsidRPr="003C6F5E">
        <w:rPr>
          <w:sz w:val="20"/>
          <w:szCs w:val="20"/>
        </w:rPr>
        <w:t>Modification</w:t>
      </w:r>
      <w:r>
        <w:rPr>
          <w:sz w:val="20"/>
          <w:szCs w:val="20"/>
        </w:rPr>
        <w:t>. Covance Laboratories Ltd, Harrogate, England. Covance Study Number 8375748.</w:t>
      </w:r>
    </w:p>
    <w:p w14:paraId="33E6299B" w14:textId="44FC01CE" w:rsidR="006C4DC3" w:rsidRDefault="006C4DC3" w:rsidP="003C6F5E">
      <w:pPr>
        <w:rPr>
          <w:sz w:val="20"/>
          <w:szCs w:val="20"/>
        </w:rPr>
      </w:pPr>
    </w:p>
    <w:p w14:paraId="12DE1F1E" w14:textId="755BCDCA" w:rsidR="006C4DC3" w:rsidRDefault="006C4DC3" w:rsidP="003C6F5E">
      <w:pPr>
        <w:rPr>
          <w:sz w:val="20"/>
          <w:szCs w:val="20"/>
        </w:rPr>
      </w:pPr>
      <w:r w:rsidRPr="006C4DC3">
        <w:rPr>
          <w:sz w:val="20"/>
          <w:szCs w:val="20"/>
        </w:rPr>
        <w:t>Cuesta-Herranz J, Pastor C, Figueredo E, Vidarte L, De las Heras M, Durán C, Fernández-Caldas E, de Miguel J, Vivanco F</w:t>
      </w:r>
      <w:r>
        <w:rPr>
          <w:sz w:val="20"/>
          <w:szCs w:val="20"/>
        </w:rPr>
        <w:t xml:space="preserve"> (2003) </w:t>
      </w:r>
      <w:r w:rsidRPr="006C4DC3">
        <w:rPr>
          <w:sz w:val="20"/>
          <w:szCs w:val="20"/>
        </w:rPr>
        <w:t>Identification of Cucumisin (Cuc m 1), a subtilisin-like endopeptidase, as the major allergen of melon fruit</w:t>
      </w:r>
      <w:r>
        <w:rPr>
          <w:sz w:val="20"/>
          <w:szCs w:val="20"/>
        </w:rPr>
        <w:t xml:space="preserve">. Clinical and Experimental Allergy 33:827-833. </w:t>
      </w:r>
    </w:p>
    <w:p w14:paraId="23BAA035" w14:textId="79709B20" w:rsidR="006B1E71" w:rsidRDefault="006B1E71" w:rsidP="003C6F5E">
      <w:pPr>
        <w:rPr>
          <w:sz w:val="20"/>
          <w:szCs w:val="20"/>
        </w:rPr>
      </w:pPr>
    </w:p>
    <w:p w14:paraId="6FFC17C1" w14:textId="056F454F" w:rsidR="006B1E71" w:rsidRPr="000B4825" w:rsidRDefault="006B1E71" w:rsidP="003C6F5E">
      <w:pPr>
        <w:rPr>
          <w:sz w:val="20"/>
          <w:szCs w:val="20"/>
        </w:rPr>
      </w:pPr>
      <w:r w:rsidRPr="006B1E71">
        <w:rPr>
          <w:sz w:val="20"/>
          <w:szCs w:val="20"/>
        </w:rPr>
        <w:t>Dauvrin T, Groot G, Maurer K-H, de Rijke D, Ryssov-Nielsen H, Simonse M, Sorensen TB (1998) Working group on consumer allergy risk from enzyme residues in food. An AMFEP expert group evaluation study</w:t>
      </w:r>
      <w:r>
        <w:rPr>
          <w:sz w:val="20"/>
          <w:szCs w:val="20"/>
        </w:rPr>
        <w:t xml:space="preserve">. </w:t>
      </w:r>
    </w:p>
    <w:p w14:paraId="616ED3CC" w14:textId="00008268" w:rsidR="000B4825" w:rsidRDefault="000B4825" w:rsidP="000B4825"/>
    <w:p w14:paraId="2E5793FD" w14:textId="77777777" w:rsidR="00431BF6" w:rsidRPr="00431BF6" w:rsidRDefault="00431BF6" w:rsidP="00431BF6">
      <w:pPr>
        <w:rPr>
          <w:sz w:val="20"/>
          <w:szCs w:val="20"/>
        </w:rPr>
      </w:pPr>
      <w:r w:rsidRPr="00431BF6">
        <w:rPr>
          <w:sz w:val="20"/>
          <w:szCs w:val="20"/>
        </w:rPr>
        <w:t>Douglass JS, Barraj LM, Tennant DR, Long WR, Chaisson CF (1997) Evaluation of the Budget Method for screening food additive intakes. Food Additives and Contaminants 14(8): 791-802</w:t>
      </w:r>
    </w:p>
    <w:p w14:paraId="2E977A31" w14:textId="77777777" w:rsidR="00431BF6" w:rsidRDefault="00431BF6" w:rsidP="000B4825"/>
    <w:p w14:paraId="3DE77811" w14:textId="5F406AEC" w:rsidR="00C55238" w:rsidRPr="00C55238" w:rsidRDefault="00C55238" w:rsidP="00C55238">
      <w:pPr>
        <w:rPr>
          <w:sz w:val="20"/>
          <w:szCs w:val="20"/>
        </w:rPr>
      </w:pPr>
      <w:r w:rsidRPr="00C55238">
        <w:rPr>
          <w:sz w:val="20"/>
          <w:szCs w:val="20"/>
        </w:rPr>
        <w:t xml:space="preserve">EFSA Panel on Additives and Products or Substances used in Animal Feed (FEEDAP) (2014) Guidance on the assessment of the toxigenic potential of </w:t>
      </w:r>
      <w:r w:rsidRPr="003F5CAB">
        <w:rPr>
          <w:i/>
          <w:sz w:val="20"/>
          <w:szCs w:val="20"/>
        </w:rPr>
        <w:t xml:space="preserve">Bacillus </w:t>
      </w:r>
      <w:r w:rsidRPr="00C55238">
        <w:rPr>
          <w:sz w:val="20"/>
          <w:szCs w:val="20"/>
        </w:rPr>
        <w:t>species used in animal nutrition. EFSA Journal, 12(5), 3665.</w:t>
      </w:r>
    </w:p>
    <w:p w14:paraId="73F5EA4E" w14:textId="77777777" w:rsidR="00C55238" w:rsidRPr="00C55238" w:rsidRDefault="00C55238" w:rsidP="00C55238">
      <w:pPr>
        <w:rPr>
          <w:sz w:val="20"/>
          <w:szCs w:val="20"/>
        </w:rPr>
      </w:pPr>
    </w:p>
    <w:p w14:paraId="05BF84E0" w14:textId="5DD49863" w:rsidR="00C55238" w:rsidRPr="00C55238" w:rsidRDefault="00C55238" w:rsidP="00C55238">
      <w:pPr>
        <w:rPr>
          <w:sz w:val="20"/>
          <w:szCs w:val="20"/>
        </w:rPr>
      </w:pPr>
      <w:r w:rsidRPr="00C55238">
        <w:rPr>
          <w:sz w:val="20"/>
          <w:szCs w:val="20"/>
        </w:rPr>
        <w:t xml:space="preserve">EPA (1997) </w:t>
      </w:r>
      <w:r w:rsidRPr="00C55238">
        <w:rPr>
          <w:i/>
          <w:sz w:val="20"/>
          <w:szCs w:val="20"/>
        </w:rPr>
        <w:t>Bacillus licheniformis</w:t>
      </w:r>
      <w:r w:rsidRPr="00C55238">
        <w:rPr>
          <w:sz w:val="20"/>
          <w:szCs w:val="20"/>
        </w:rPr>
        <w:t xml:space="preserve"> final risk assessment. United States Environmental Protection Agency. </w:t>
      </w:r>
      <w:hyperlink r:id="rId23" w:history="1">
        <w:r w:rsidRPr="00C55238">
          <w:rPr>
            <w:rStyle w:val="Hyperlink"/>
            <w:sz w:val="20"/>
            <w:szCs w:val="20"/>
          </w:rPr>
          <w:t>http://www.epa.gov/oppt/biotech/pubs/fra/fra005.htm. Accessed 28 August 2010</w:t>
        </w:r>
      </w:hyperlink>
    </w:p>
    <w:p w14:paraId="082604F0" w14:textId="12D192B8" w:rsidR="00915EF8" w:rsidRDefault="00915EF8" w:rsidP="00C55238">
      <w:pPr>
        <w:rPr>
          <w:sz w:val="20"/>
          <w:szCs w:val="20"/>
        </w:rPr>
      </w:pPr>
    </w:p>
    <w:p w14:paraId="56274BCE" w14:textId="22361127" w:rsidR="005467DB" w:rsidRDefault="005467DB" w:rsidP="005467DB">
      <w:pPr>
        <w:rPr>
          <w:sz w:val="20"/>
          <w:szCs w:val="20"/>
        </w:rPr>
      </w:pPr>
      <w:r w:rsidRPr="00C55238">
        <w:rPr>
          <w:sz w:val="20"/>
          <w:szCs w:val="20"/>
        </w:rPr>
        <w:t>FCC (20</w:t>
      </w:r>
      <w:r>
        <w:rPr>
          <w:sz w:val="20"/>
          <w:szCs w:val="20"/>
        </w:rPr>
        <w:t>1</w:t>
      </w:r>
      <w:r w:rsidRPr="00C55238">
        <w:rPr>
          <w:sz w:val="20"/>
          <w:szCs w:val="20"/>
        </w:rPr>
        <w:t xml:space="preserve">8). Enzyme preparations. In: </w:t>
      </w:r>
      <w:r w:rsidRPr="005D72E2">
        <w:rPr>
          <w:i/>
          <w:sz w:val="20"/>
          <w:szCs w:val="20"/>
        </w:rPr>
        <w:t>Food Chemicals Codex</w:t>
      </w:r>
      <w:r w:rsidRPr="00C55238">
        <w:rPr>
          <w:sz w:val="20"/>
          <w:szCs w:val="20"/>
        </w:rPr>
        <w:t xml:space="preserve">, </w:t>
      </w:r>
      <w:r>
        <w:rPr>
          <w:sz w:val="20"/>
          <w:szCs w:val="20"/>
        </w:rPr>
        <w:t>11</w:t>
      </w:r>
      <w:r w:rsidRPr="00C55238">
        <w:rPr>
          <w:sz w:val="20"/>
          <w:szCs w:val="20"/>
        </w:rPr>
        <w:t>th edition. Rockville (MD): United S</w:t>
      </w:r>
      <w:r>
        <w:rPr>
          <w:sz w:val="20"/>
          <w:szCs w:val="20"/>
        </w:rPr>
        <w:t>tates Pharmacopeial Convention</w:t>
      </w:r>
    </w:p>
    <w:p w14:paraId="0F3CC709" w14:textId="4E517A7A" w:rsidR="00B649CA" w:rsidRDefault="00B649CA" w:rsidP="005467DB">
      <w:pPr>
        <w:rPr>
          <w:sz w:val="20"/>
          <w:szCs w:val="20"/>
        </w:rPr>
      </w:pPr>
    </w:p>
    <w:p w14:paraId="26D46FBE" w14:textId="77777777" w:rsidR="00C76331" w:rsidRDefault="00C76331" w:rsidP="005467DB">
      <w:pPr>
        <w:rPr>
          <w:sz w:val="20"/>
          <w:szCs w:val="20"/>
        </w:rPr>
      </w:pPr>
    </w:p>
    <w:p w14:paraId="3C940949" w14:textId="4C434E76" w:rsidR="005467DB" w:rsidRDefault="00B649CA" w:rsidP="005467DB">
      <w:pPr>
        <w:rPr>
          <w:sz w:val="20"/>
          <w:szCs w:val="20"/>
        </w:rPr>
      </w:pPr>
      <w:r>
        <w:rPr>
          <w:sz w:val="20"/>
          <w:szCs w:val="20"/>
        </w:rPr>
        <w:t>Federal Register (1999) Carbohydrase and protease enzyme preparations derived from Bacillus subtilis or Bacillus amylo</w:t>
      </w:r>
      <w:r w:rsidR="00EE55D8">
        <w:rPr>
          <w:sz w:val="20"/>
          <w:szCs w:val="20"/>
        </w:rPr>
        <w:t xml:space="preserve">liquefaciens; Affirmation of GRAS status as direct food ingredients. Federal Register Vol. 64, No. 78. Friday April 23, 1999. </w:t>
      </w:r>
      <w:hyperlink r:id="rId24" w:history="1">
        <w:r w:rsidR="00EE55D8" w:rsidRPr="005664FD">
          <w:rPr>
            <w:rStyle w:val="Hyperlink"/>
            <w:rFonts w:eastAsiaTheme="minorHAnsi" w:cstheme="minorBidi"/>
            <w:szCs w:val="22"/>
            <w:lang w:val="en-US" w:eastAsia="en-AU" w:bidi="ar-SA"/>
          </w:rPr>
          <w:t>https://www.govinfo.gov/content/pkg/FR-1999-04-23/pdf/99-10011.pdf</w:t>
        </w:r>
      </w:hyperlink>
      <w:r w:rsidR="00EE55D8">
        <w:rPr>
          <w:rFonts w:eastAsiaTheme="minorHAnsi" w:cstheme="minorBidi"/>
          <w:szCs w:val="22"/>
          <w:lang w:val="en-US" w:eastAsia="en-AU" w:bidi="ar-SA"/>
        </w:rPr>
        <w:t xml:space="preserve"> </w:t>
      </w:r>
      <w:r w:rsidR="00EE55D8">
        <w:rPr>
          <w:sz w:val="20"/>
          <w:szCs w:val="20"/>
        </w:rPr>
        <w:t>Accessed 29 October 2020</w:t>
      </w:r>
    </w:p>
    <w:p w14:paraId="27AE5749" w14:textId="77777777" w:rsidR="00EE55D8" w:rsidRDefault="00EE55D8" w:rsidP="005467DB">
      <w:pPr>
        <w:rPr>
          <w:sz w:val="20"/>
          <w:szCs w:val="20"/>
        </w:rPr>
      </w:pPr>
    </w:p>
    <w:p w14:paraId="1634FB21" w14:textId="77777777" w:rsidR="005467DB" w:rsidRDefault="005467DB" w:rsidP="005467DB">
      <w:pPr>
        <w:rPr>
          <w:sz w:val="20"/>
          <w:szCs w:val="20"/>
        </w:rPr>
      </w:pPr>
      <w:r>
        <w:rPr>
          <w:sz w:val="20"/>
          <w:szCs w:val="20"/>
        </w:rPr>
        <w:t xml:space="preserve">Fiala, G, Stetter, KO (1986) </w:t>
      </w:r>
      <w:r w:rsidRPr="003F5CAB">
        <w:rPr>
          <w:i/>
          <w:sz w:val="20"/>
          <w:szCs w:val="20"/>
        </w:rPr>
        <w:t>Pyrococcus furiosus</w:t>
      </w:r>
      <w:r w:rsidRPr="003F5CAB">
        <w:rPr>
          <w:sz w:val="20"/>
          <w:szCs w:val="20"/>
        </w:rPr>
        <w:t xml:space="preserve"> sp. nov. represents a novel genus of marine heterotrophic archaebacteria g</w:t>
      </w:r>
      <w:r>
        <w:rPr>
          <w:sz w:val="20"/>
          <w:szCs w:val="20"/>
        </w:rPr>
        <w:t>rowing optimally at 100°C. Archives of</w:t>
      </w:r>
      <w:r w:rsidRPr="003F5CAB">
        <w:rPr>
          <w:sz w:val="20"/>
          <w:szCs w:val="20"/>
        </w:rPr>
        <w:t xml:space="preserve"> Microbiol</w:t>
      </w:r>
      <w:r>
        <w:rPr>
          <w:sz w:val="20"/>
          <w:szCs w:val="20"/>
        </w:rPr>
        <w:t>ogy. 145:</w:t>
      </w:r>
      <w:r w:rsidRPr="003F5CAB">
        <w:rPr>
          <w:sz w:val="20"/>
          <w:szCs w:val="20"/>
        </w:rPr>
        <w:t xml:space="preserve">56–61 </w:t>
      </w:r>
    </w:p>
    <w:p w14:paraId="11D62110" w14:textId="77777777" w:rsidR="005467DB" w:rsidRDefault="005467DB" w:rsidP="00C55238">
      <w:pPr>
        <w:rPr>
          <w:sz w:val="20"/>
          <w:szCs w:val="20"/>
        </w:rPr>
      </w:pPr>
    </w:p>
    <w:p w14:paraId="161D686D" w14:textId="466FC6BD" w:rsidR="000B4825" w:rsidRPr="005D72E2" w:rsidRDefault="000B4825" w:rsidP="000B4825">
      <w:pPr>
        <w:rPr>
          <w:sz w:val="20"/>
          <w:szCs w:val="20"/>
        </w:rPr>
      </w:pPr>
      <w:r w:rsidRPr="005D72E2">
        <w:rPr>
          <w:sz w:val="20"/>
          <w:szCs w:val="20"/>
        </w:rPr>
        <w:t xml:space="preserve">FSANZ </w:t>
      </w:r>
      <w:r w:rsidR="00232D32" w:rsidRPr="005D72E2">
        <w:rPr>
          <w:sz w:val="20"/>
          <w:szCs w:val="20"/>
        </w:rPr>
        <w:t>(</w:t>
      </w:r>
      <w:r w:rsidRPr="005D72E2">
        <w:rPr>
          <w:sz w:val="20"/>
          <w:szCs w:val="20"/>
        </w:rPr>
        <w:t>2016</w:t>
      </w:r>
      <w:r w:rsidR="00232D32" w:rsidRPr="005D72E2">
        <w:rPr>
          <w:sz w:val="20"/>
          <w:szCs w:val="20"/>
        </w:rPr>
        <w:t>) Proposal P</w:t>
      </w:r>
      <w:r w:rsidRPr="005D72E2">
        <w:rPr>
          <w:sz w:val="20"/>
          <w:szCs w:val="20"/>
        </w:rPr>
        <w:t>1031</w:t>
      </w:r>
      <w:r w:rsidR="00232D32" w:rsidRPr="005D72E2">
        <w:rPr>
          <w:sz w:val="20"/>
          <w:szCs w:val="20"/>
        </w:rPr>
        <w:t xml:space="preserve"> – </w:t>
      </w:r>
      <w:hyperlink r:id="rId25" w:history="1">
        <w:r w:rsidR="00232D32" w:rsidRPr="005D72E2">
          <w:rPr>
            <w:rStyle w:val="Hyperlink"/>
            <w:sz w:val="20"/>
            <w:szCs w:val="20"/>
          </w:rPr>
          <w:t>Allergen Labelling Exemptions</w:t>
        </w:r>
      </w:hyperlink>
      <w:r w:rsidR="00232D32" w:rsidRPr="005D72E2">
        <w:rPr>
          <w:sz w:val="20"/>
          <w:szCs w:val="20"/>
        </w:rPr>
        <w:t xml:space="preserve">. Food Standards Australia New Zealand, Canberra </w:t>
      </w:r>
    </w:p>
    <w:p w14:paraId="581AAB38" w14:textId="2FFEAB90" w:rsidR="000B4825" w:rsidRDefault="000B4825" w:rsidP="000B4825"/>
    <w:p w14:paraId="5808703A" w14:textId="3A9CFA31" w:rsidR="000B4825" w:rsidRPr="005D72E2" w:rsidRDefault="000B4825" w:rsidP="000B4825">
      <w:pPr>
        <w:rPr>
          <w:sz w:val="20"/>
          <w:szCs w:val="20"/>
        </w:rPr>
      </w:pPr>
      <w:r w:rsidRPr="005D72E2">
        <w:rPr>
          <w:sz w:val="20"/>
          <w:szCs w:val="20"/>
        </w:rPr>
        <w:t xml:space="preserve">Gomaa, AM (2018) Application of Enzymes in Brewing. Journal of Nutrition and Food Science Forecast, vol 1 ed 1  </w:t>
      </w:r>
    </w:p>
    <w:p w14:paraId="43E56010" w14:textId="53A731E1" w:rsidR="000B4825" w:rsidRDefault="000B4825" w:rsidP="000B4825"/>
    <w:p w14:paraId="7CC1476D" w14:textId="64163E25" w:rsidR="00915EF8" w:rsidRDefault="00915EF8" w:rsidP="000B4825">
      <w:pPr>
        <w:rPr>
          <w:sz w:val="20"/>
          <w:szCs w:val="20"/>
        </w:rPr>
      </w:pPr>
      <w:r>
        <w:rPr>
          <w:sz w:val="20"/>
          <w:szCs w:val="20"/>
        </w:rPr>
        <w:t>Huntingdon Life Sciences (2013) Amylase, PPY34423: toxicity study by oral gavage administration to Sprague-Dawley rats for 13 weeks. Huntingdon Life Sciences, Suffolk, UK. HLS study number: LKG0073.</w:t>
      </w:r>
    </w:p>
    <w:p w14:paraId="43B1F3B1" w14:textId="77777777" w:rsidR="00915EF8" w:rsidRDefault="00915EF8" w:rsidP="000B4825">
      <w:pPr>
        <w:rPr>
          <w:sz w:val="20"/>
          <w:szCs w:val="20"/>
        </w:rPr>
      </w:pPr>
    </w:p>
    <w:p w14:paraId="61EC938F" w14:textId="178FA533" w:rsidR="000B4825" w:rsidRPr="000B4825" w:rsidRDefault="000B4825" w:rsidP="000B4825">
      <w:pPr>
        <w:rPr>
          <w:sz w:val="20"/>
          <w:szCs w:val="20"/>
        </w:rPr>
      </w:pPr>
      <w:r w:rsidRPr="000B4825">
        <w:rPr>
          <w:sz w:val="20"/>
          <w:szCs w:val="20"/>
        </w:rPr>
        <w:t xml:space="preserve">International Union Of Biochemistry And Molecular Biology (IUBMB) 2020, </w:t>
      </w:r>
      <w:hyperlink r:id="rId26" w:history="1">
        <w:r w:rsidRPr="000B4825">
          <w:rPr>
            <w:rStyle w:val="Hyperlink"/>
            <w:sz w:val="20"/>
            <w:szCs w:val="20"/>
          </w:rPr>
          <w:t>https://www.qmul.ac.uk/sbcs/iubmb/enzyme/EC34/3421.html</w:t>
        </w:r>
      </w:hyperlink>
      <w:r w:rsidRPr="000B4825">
        <w:rPr>
          <w:sz w:val="20"/>
          <w:szCs w:val="20"/>
        </w:rPr>
        <w:t xml:space="preserve"> </w:t>
      </w:r>
    </w:p>
    <w:p w14:paraId="4BE5BC20" w14:textId="61624A59" w:rsidR="000B4825" w:rsidRDefault="000B4825" w:rsidP="000B4825">
      <w:pPr>
        <w:rPr>
          <w:sz w:val="20"/>
          <w:szCs w:val="20"/>
        </w:rPr>
      </w:pPr>
      <w:r w:rsidRPr="000B4825">
        <w:rPr>
          <w:sz w:val="20"/>
          <w:szCs w:val="20"/>
        </w:rPr>
        <w:t xml:space="preserve">accessed 14 September 2020 </w:t>
      </w:r>
    </w:p>
    <w:p w14:paraId="12CB1745" w14:textId="68F863EC" w:rsidR="004D78FA" w:rsidRDefault="004D78FA" w:rsidP="000B4825">
      <w:pPr>
        <w:rPr>
          <w:sz w:val="20"/>
          <w:szCs w:val="20"/>
        </w:rPr>
      </w:pPr>
    </w:p>
    <w:p w14:paraId="1C1E528B" w14:textId="6300DC16" w:rsidR="004D78FA" w:rsidRPr="000B4825" w:rsidRDefault="004D78FA" w:rsidP="000B4825">
      <w:pPr>
        <w:rPr>
          <w:sz w:val="20"/>
          <w:szCs w:val="20"/>
        </w:rPr>
      </w:pPr>
      <w:r>
        <w:rPr>
          <w:sz w:val="20"/>
          <w:szCs w:val="20"/>
        </w:rPr>
        <w:t xml:space="preserve">Jai Research Foundation (2013) Repeated dose 14-day toxicity study of subtilisin PPA34557 through oral gavage in Wistar rats.  Jai Research Foundation, Gujarat, India. JRF study number 410-1-02-6054. </w:t>
      </w:r>
    </w:p>
    <w:p w14:paraId="4D2728D8" w14:textId="0DB786BF" w:rsidR="00C55238" w:rsidRDefault="00C55238" w:rsidP="00C55238">
      <w:pPr>
        <w:rPr>
          <w:sz w:val="20"/>
          <w:szCs w:val="20"/>
        </w:rPr>
      </w:pPr>
    </w:p>
    <w:p w14:paraId="1F496704" w14:textId="00CEB553" w:rsidR="000B4825" w:rsidRPr="005B59CE" w:rsidRDefault="000B4825" w:rsidP="000B4825">
      <w:pPr>
        <w:autoSpaceDE w:val="0"/>
        <w:autoSpaceDN w:val="0"/>
        <w:adjustRightInd w:val="0"/>
        <w:rPr>
          <w:sz w:val="20"/>
          <w:szCs w:val="20"/>
          <w:lang w:val="en-US" w:eastAsia="en-GB"/>
        </w:rPr>
      </w:pPr>
      <w:r w:rsidRPr="005B59CE">
        <w:rPr>
          <w:sz w:val="20"/>
          <w:szCs w:val="20"/>
          <w:lang w:val="en-AU" w:eastAsia="en-GB"/>
        </w:rPr>
        <w:t>J</w:t>
      </w:r>
      <w:r w:rsidR="006E0C23">
        <w:rPr>
          <w:sz w:val="20"/>
          <w:szCs w:val="20"/>
          <w:lang w:val="en-AU" w:eastAsia="en-GB"/>
        </w:rPr>
        <w:t>ECFA (2006) General Specifications and Considerations for Enzyme P</w:t>
      </w:r>
      <w:r w:rsidRPr="005B59CE">
        <w:rPr>
          <w:sz w:val="20"/>
          <w:szCs w:val="20"/>
          <w:lang w:val="en-AU" w:eastAsia="en-GB"/>
        </w:rPr>
        <w:t>reparations</w:t>
      </w:r>
      <w:r w:rsidR="005D72E2">
        <w:rPr>
          <w:sz w:val="20"/>
          <w:szCs w:val="20"/>
          <w:lang w:val="en-AU" w:eastAsia="en-GB"/>
        </w:rPr>
        <w:t>.</w:t>
      </w:r>
      <w:r w:rsidRPr="005B59CE">
        <w:rPr>
          <w:sz w:val="20"/>
          <w:szCs w:val="20"/>
          <w:lang w:val="en-AU" w:eastAsia="en-GB"/>
        </w:rPr>
        <w:t xml:space="preserve"> In: </w:t>
      </w:r>
      <w:r w:rsidRPr="005B59CE">
        <w:rPr>
          <w:i/>
          <w:sz w:val="20"/>
          <w:szCs w:val="20"/>
          <w:lang w:val="en-AU" w:eastAsia="en-GB"/>
        </w:rPr>
        <w:t xml:space="preserve">Combined Compendium of Food Additive Specifications [Online </w:t>
      </w:r>
      <w:r w:rsidR="009D03BA">
        <w:rPr>
          <w:i/>
          <w:sz w:val="20"/>
          <w:szCs w:val="20"/>
          <w:lang w:val="en-AU" w:eastAsia="en-GB"/>
        </w:rPr>
        <w:t>Edition].</w:t>
      </w:r>
      <w:r w:rsidR="009D03BA">
        <w:rPr>
          <w:sz w:val="20"/>
          <w:szCs w:val="20"/>
          <w:lang w:val="en-AU" w:eastAsia="en-GB"/>
        </w:rPr>
        <w:t xml:space="preserve"> World Health </w:t>
      </w:r>
      <w:r w:rsidRPr="005B59CE">
        <w:rPr>
          <w:sz w:val="20"/>
          <w:szCs w:val="20"/>
          <w:lang w:val="en-AU" w:eastAsia="en-GB"/>
        </w:rPr>
        <w:t>Organization</w:t>
      </w:r>
      <w:r w:rsidR="009D03BA">
        <w:rPr>
          <w:sz w:val="20"/>
          <w:szCs w:val="20"/>
          <w:lang w:val="en-AU" w:eastAsia="en-GB"/>
        </w:rPr>
        <w:t>,</w:t>
      </w:r>
      <w:r w:rsidRPr="005B59CE">
        <w:rPr>
          <w:sz w:val="20"/>
          <w:szCs w:val="20"/>
          <w:lang w:val="en-AU" w:eastAsia="en-GB"/>
        </w:rPr>
        <w:t xml:space="preserve"> Geneva, Switz</w:t>
      </w:r>
      <w:r w:rsidR="009D03BA">
        <w:rPr>
          <w:sz w:val="20"/>
          <w:szCs w:val="20"/>
          <w:lang w:val="en-AU" w:eastAsia="en-GB"/>
        </w:rPr>
        <w:t xml:space="preserve">. </w:t>
      </w:r>
      <w:r w:rsidRPr="005B59CE">
        <w:rPr>
          <w:sz w:val="20"/>
          <w:szCs w:val="20"/>
          <w:lang w:val="en-AU" w:eastAsia="en-GB"/>
        </w:rPr>
        <w:t xml:space="preserve">Available at: </w:t>
      </w:r>
      <w:hyperlink r:id="rId27" w:history="1">
        <w:r w:rsidRPr="005B59CE">
          <w:rPr>
            <w:color w:val="3333FF"/>
            <w:sz w:val="20"/>
            <w:szCs w:val="20"/>
            <w:u w:val="single"/>
            <w:lang w:val="en-US" w:eastAsia="en-GB"/>
          </w:rPr>
          <w:t>http://www.fao.org/food/food-safety-quality/scientific-advice/jecfa/jecfa-additives/en/</w:t>
        </w:r>
      </w:hyperlink>
      <w:r w:rsidRPr="005B59CE">
        <w:rPr>
          <w:sz w:val="20"/>
          <w:szCs w:val="20"/>
          <w:lang w:val="en-US" w:eastAsia="en-GB"/>
        </w:rPr>
        <w:t>. Accessed 10 September 2020</w:t>
      </w:r>
    </w:p>
    <w:p w14:paraId="4C4CE1E6" w14:textId="77777777" w:rsidR="000B4825" w:rsidRDefault="000B4825" w:rsidP="00C55238">
      <w:pPr>
        <w:rPr>
          <w:sz w:val="20"/>
          <w:szCs w:val="20"/>
        </w:rPr>
      </w:pPr>
    </w:p>
    <w:p w14:paraId="693505C5" w14:textId="36A34E9C" w:rsidR="00EC4A88" w:rsidRPr="00EC4A88" w:rsidRDefault="00EC4A88" w:rsidP="00EC4A88">
      <w:pPr>
        <w:tabs>
          <w:tab w:val="left" w:pos="0"/>
        </w:tabs>
        <w:spacing w:after="240"/>
        <w:rPr>
          <w:rFonts w:cs="Arial"/>
          <w:noProof/>
          <w:color w:val="000000" w:themeColor="text1"/>
          <w:sz w:val="20"/>
          <w:szCs w:val="20"/>
        </w:rPr>
      </w:pPr>
      <w:r>
        <w:rPr>
          <w:rFonts w:cs="Arial"/>
          <w:noProof/>
          <w:color w:val="000000" w:themeColor="text1"/>
          <w:sz w:val="20"/>
          <w:szCs w:val="20"/>
        </w:rPr>
        <w:t xml:space="preserve">Larkin, M.A., Blackshields, G., Brown, N.P., Chenna, R., McGettigan, P.A., McWilliam, H., Valentin, F., Wallace, I.M., Wilm, A., Lopez, R., Thompson, J.D., Gibson, T.J. and Higgins, D.G. (2007) Clustal W and Clustal X version 2.0. </w:t>
      </w:r>
      <w:r>
        <w:rPr>
          <w:rFonts w:cs="Arial"/>
          <w:i/>
          <w:noProof/>
          <w:color w:val="000000" w:themeColor="text1"/>
          <w:sz w:val="20"/>
          <w:szCs w:val="20"/>
        </w:rPr>
        <w:t xml:space="preserve">Bioinformatics </w:t>
      </w:r>
      <w:r>
        <w:rPr>
          <w:rFonts w:cs="Arial"/>
          <w:noProof/>
          <w:color w:val="000000" w:themeColor="text1"/>
          <w:sz w:val="20"/>
          <w:szCs w:val="20"/>
        </w:rPr>
        <w:t>23(21):2947-2948.</w:t>
      </w:r>
    </w:p>
    <w:p w14:paraId="44EF9BDE" w14:textId="77777777" w:rsidR="000B4825" w:rsidRPr="006622CD" w:rsidRDefault="000B4825" w:rsidP="000B4825">
      <w:pPr>
        <w:autoSpaceDE w:val="0"/>
        <w:autoSpaceDN w:val="0"/>
        <w:adjustRightInd w:val="0"/>
        <w:rPr>
          <w:sz w:val="20"/>
          <w:szCs w:val="20"/>
          <w:lang w:val="en-US" w:eastAsia="en-GB"/>
        </w:rPr>
      </w:pPr>
      <w:r w:rsidRPr="006622CD">
        <w:rPr>
          <w:sz w:val="20"/>
          <w:szCs w:val="20"/>
          <w:lang w:val="en-US" w:eastAsia="en-GB"/>
        </w:rPr>
        <w:t>Nagodawithana T and Reed G (1993) Enzymes in Food Processing (3</w:t>
      </w:r>
      <w:r w:rsidRPr="006622CD">
        <w:rPr>
          <w:sz w:val="20"/>
          <w:szCs w:val="20"/>
          <w:vertAlign w:val="superscript"/>
          <w:lang w:val="en-US" w:eastAsia="en-GB"/>
        </w:rPr>
        <w:t>rd</w:t>
      </w:r>
      <w:r w:rsidRPr="006622CD">
        <w:rPr>
          <w:sz w:val="20"/>
          <w:szCs w:val="20"/>
          <w:lang w:val="en-US" w:eastAsia="en-GB"/>
        </w:rPr>
        <w:t xml:space="preserve"> ed.) Academic Press, Inc. London.</w:t>
      </w:r>
    </w:p>
    <w:p w14:paraId="41A58EFF" w14:textId="77777777" w:rsidR="000B4825" w:rsidRPr="00C55238" w:rsidRDefault="000B4825" w:rsidP="00C55238">
      <w:pPr>
        <w:rPr>
          <w:sz w:val="20"/>
          <w:szCs w:val="20"/>
        </w:rPr>
      </w:pPr>
    </w:p>
    <w:p w14:paraId="7256CC38" w14:textId="77777777" w:rsidR="00C55238" w:rsidRPr="00C55238" w:rsidRDefault="00C55238" w:rsidP="00C55238">
      <w:pPr>
        <w:rPr>
          <w:sz w:val="20"/>
          <w:szCs w:val="20"/>
        </w:rPr>
      </w:pPr>
      <w:r w:rsidRPr="00C55238">
        <w:rPr>
          <w:sz w:val="20"/>
          <w:szCs w:val="20"/>
        </w:rPr>
        <w:t xml:space="preserve">NIH (2013) NIH guidelines for research involving recombinant or synthetic nucleic acid molecules. National Institutes of Health, U.S. Department of Health &amp; Human Services. </w:t>
      </w:r>
      <w:hyperlink r:id="rId28" w:history="1">
        <w:r w:rsidRPr="00C55238">
          <w:rPr>
            <w:rStyle w:val="Hyperlink"/>
            <w:sz w:val="20"/>
            <w:szCs w:val="20"/>
          </w:rPr>
          <w:t>http://osp.od.nih.gov/office-biotechnology-activities/biosafety/nih-guidelines</w:t>
        </w:r>
      </w:hyperlink>
    </w:p>
    <w:p w14:paraId="06E573D0" w14:textId="3F46238C" w:rsidR="00C55238" w:rsidRDefault="00C55238" w:rsidP="00C55238">
      <w:pPr>
        <w:rPr>
          <w:sz w:val="20"/>
          <w:szCs w:val="20"/>
        </w:rPr>
      </w:pPr>
    </w:p>
    <w:p w14:paraId="00CE8BB4" w14:textId="109C663A" w:rsidR="0024285A" w:rsidRDefault="0024285A" w:rsidP="00C55238">
      <w:pPr>
        <w:rPr>
          <w:sz w:val="20"/>
          <w:szCs w:val="20"/>
        </w:rPr>
      </w:pPr>
      <w:r>
        <w:rPr>
          <w:sz w:val="20"/>
          <w:szCs w:val="20"/>
        </w:rPr>
        <w:t>Novozymes (2013) Amylase, PPY34423. Test for mutagenic activity with strains of Salmonella typhimurium and Escherichia coli. Novozymes A/S, Bagsv</w:t>
      </w:r>
      <w:r>
        <w:rPr>
          <w:rFonts w:cs="Arial"/>
          <w:sz w:val="20"/>
          <w:szCs w:val="20"/>
        </w:rPr>
        <w:t>ӕ</w:t>
      </w:r>
      <w:r>
        <w:rPr>
          <w:sz w:val="20"/>
          <w:szCs w:val="20"/>
        </w:rPr>
        <w:t xml:space="preserve">rd, Denmark. Study no. 20128088. </w:t>
      </w:r>
    </w:p>
    <w:p w14:paraId="1A546ED4" w14:textId="1E1A5D22" w:rsidR="000907E7" w:rsidRDefault="000907E7" w:rsidP="00C55238">
      <w:pPr>
        <w:rPr>
          <w:sz w:val="20"/>
          <w:szCs w:val="20"/>
        </w:rPr>
      </w:pPr>
    </w:p>
    <w:p w14:paraId="64727D7B" w14:textId="2E335A4A" w:rsidR="00B51823" w:rsidRDefault="00B51823" w:rsidP="00B51823">
      <w:pPr>
        <w:rPr>
          <w:sz w:val="20"/>
          <w:szCs w:val="20"/>
        </w:rPr>
      </w:pPr>
      <w:r w:rsidRPr="00B51823">
        <w:rPr>
          <w:sz w:val="20"/>
          <w:szCs w:val="20"/>
        </w:rPr>
        <w:t>Pariza MW, Foster, EM (1983) Determining the Safety of Enzymes Used in Food Processing. Journal of Food Protection 46(5)</w:t>
      </w:r>
      <w:r>
        <w:rPr>
          <w:sz w:val="20"/>
          <w:szCs w:val="20"/>
        </w:rPr>
        <w:t>:</w:t>
      </w:r>
      <w:r w:rsidRPr="00B51823">
        <w:rPr>
          <w:sz w:val="20"/>
          <w:szCs w:val="20"/>
        </w:rPr>
        <w:t>453-468.</w:t>
      </w:r>
    </w:p>
    <w:p w14:paraId="48269828" w14:textId="77777777" w:rsidR="00B51823" w:rsidRPr="00B51823" w:rsidRDefault="00B51823" w:rsidP="00B51823">
      <w:pPr>
        <w:rPr>
          <w:sz w:val="20"/>
          <w:szCs w:val="20"/>
        </w:rPr>
      </w:pPr>
    </w:p>
    <w:p w14:paraId="5A889780" w14:textId="612B743C" w:rsidR="00B51823" w:rsidRDefault="00B51823" w:rsidP="00B51823">
      <w:pPr>
        <w:rPr>
          <w:sz w:val="20"/>
          <w:szCs w:val="20"/>
        </w:rPr>
      </w:pPr>
      <w:r w:rsidRPr="00B51823">
        <w:rPr>
          <w:sz w:val="20"/>
          <w:szCs w:val="20"/>
        </w:rPr>
        <w:lastRenderedPageBreak/>
        <w:t>Pariza MW</w:t>
      </w:r>
      <w:r>
        <w:rPr>
          <w:sz w:val="20"/>
          <w:szCs w:val="20"/>
        </w:rPr>
        <w:t>,</w:t>
      </w:r>
      <w:r w:rsidRPr="00B51823">
        <w:rPr>
          <w:sz w:val="20"/>
          <w:szCs w:val="20"/>
        </w:rPr>
        <w:t xml:space="preserve"> Johnson EA (2001) Evaluating the Safety of Microbial Enzyme Preparations Used in Food Processing: Update for a New Century. Regulat</w:t>
      </w:r>
      <w:r>
        <w:rPr>
          <w:sz w:val="20"/>
          <w:szCs w:val="20"/>
        </w:rPr>
        <w:t>ory Toxicology and Pharmacology</w:t>
      </w:r>
      <w:r w:rsidRPr="00B51823">
        <w:rPr>
          <w:sz w:val="20"/>
          <w:szCs w:val="20"/>
        </w:rPr>
        <w:t xml:space="preserve"> 33</w:t>
      </w:r>
      <w:r>
        <w:rPr>
          <w:sz w:val="20"/>
          <w:szCs w:val="20"/>
        </w:rPr>
        <w:t>:</w:t>
      </w:r>
      <w:r w:rsidRPr="00B51823">
        <w:rPr>
          <w:sz w:val="20"/>
          <w:szCs w:val="20"/>
        </w:rPr>
        <w:t>173-186.</w:t>
      </w:r>
    </w:p>
    <w:p w14:paraId="1FDEA0EB" w14:textId="77777777" w:rsidR="00B51823" w:rsidRDefault="00B51823" w:rsidP="00B51823">
      <w:pPr>
        <w:rPr>
          <w:sz w:val="20"/>
          <w:szCs w:val="20"/>
        </w:rPr>
      </w:pPr>
    </w:p>
    <w:p w14:paraId="2425BA3E" w14:textId="77777777" w:rsidR="000B751B" w:rsidRDefault="000B751B" w:rsidP="00C55238">
      <w:pPr>
        <w:rPr>
          <w:sz w:val="20"/>
          <w:szCs w:val="20"/>
        </w:rPr>
      </w:pPr>
    </w:p>
    <w:p w14:paraId="7473A5AF" w14:textId="6DD51F7C" w:rsidR="000907E7" w:rsidRDefault="000907E7" w:rsidP="00C55238">
      <w:pPr>
        <w:rPr>
          <w:sz w:val="20"/>
          <w:szCs w:val="20"/>
        </w:rPr>
      </w:pPr>
      <w:r w:rsidRPr="000907E7">
        <w:rPr>
          <w:sz w:val="20"/>
          <w:szCs w:val="20"/>
        </w:rPr>
        <w:t xml:space="preserve">Pedersen PB, Bjørnvad ME, Rasmussen MD and Petersen JN, </w:t>
      </w:r>
      <w:r>
        <w:rPr>
          <w:sz w:val="20"/>
          <w:szCs w:val="20"/>
        </w:rPr>
        <w:t>(</w:t>
      </w:r>
      <w:r w:rsidRPr="000907E7">
        <w:rPr>
          <w:sz w:val="20"/>
          <w:szCs w:val="20"/>
        </w:rPr>
        <w:t>2002</w:t>
      </w:r>
      <w:r>
        <w:rPr>
          <w:sz w:val="20"/>
          <w:szCs w:val="20"/>
        </w:rPr>
        <w:t>)</w:t>
      </w:r>
      <w:r w:rsidRPr="000907E7">
        <w:rPr>
          <w:sz w:val="20"/>
          <w:szCs w:val="20"/>
        </w:rPr>
        <w:t xml:space="preserve">. Cytotoxic potential of industrial strains of </w:t>
      </w:r>
      <w:r w:rsidRPr="000907E7">
        <w:rPr>
          <w:i/>
          <w:sz w:val="20"/>
          <w:szCs w:val="20"/>
        </w:rPr>
        <w:t>Bacillus</w:t>
      </w:r>
      <w:r w:rsidRPr="000907E7">
        <w:rPr>
          <w:sz w:val="20"/>
          <w:szCs w:val="20"/>
        </w:rPr>
        <w:t xml:space="preserve"> sp. Regulatory Toxicology and Pharmacology. 36</w:t>
      </w:r>
      <w:r>
        <w:rPr>
          <w:sz w:val="20"/>
          <w:szCs w:val="20"/>
        </w:rPr>
        <w:t>:</w:t>
      </w:r>
      <w:r w:rsidRPr="000907E7">
        <w:rPr>
          <w:sz w:val="20"/>
          <w:szCs w:val="20"/>
        </w:rPr>
        <w:t>155–161.</w:t>
      </w:r>
    </w:p>
    <w:p w14:paraId="5B0A84D4" w14:textId="1EA0FE25" w:rsidR="007F4A66" w:rsidRDefault="007F4A66" w:rsidP="00C55238">
      <w:pPr>
        <w:rPr>
          <w:sz w:val="20"/>
          <w:szCs w:val="20"/>
        </w:rPr>
      </w:pPr>
    </w:p>
    <w:p w14:paraId="7A88F1EB" w14:textId="6F75AD03" w:rsidR="009E61C5" w:rsidRPr="009E61C5" w:rsidRDefault="009E61C5" w:rsidP="00C55238">
      <w:r>
        <w:rPr>
          <w:rFonts w:cs="Arial"/>
          <w:color w:val="222222"/>
          <w:sz w:val="20"/>
          <w:szCs w:val="20"/>
          <w:shd w:val="clear" w:color="auto" w:fill="FFFFFF"/>
        </w:rPr>
        <w:t xml:space="preserve">Salkinoja-Salonen, MS, Vuorio, R, Andersson, MA, Kämpfer, P, Andersson, MC, Honkanen-Buzalski, T and Scoging, AC (1999). Toxigenic strains of </w:t>
      </w:r>
      <w:r w:rsidRPr="009E61C5">
        <w:rPr>
          <w:rFonts w:cs="Arial"/>
          <w:i/>
          <w:color w:val="222222"/>
          <w:sz w:val="20"/>
          <w:szCs w:val="20"/>
          <w:shd w:val="clear" w:color="auto" w:fill="FFFFFF"/>
        </w:rPr>
        <w:t>Bacillus licheniformis</w:t>
      </w:r>
      <w:r>
        <w:rPr>
          <w:rFonts w:cs="Arial"/>
          <w:color w:val="222222"/>
          <w:sz w:val="20"/>
          <w:szCs w:val="20"/>
          <w:shd w:val="clear" w:color="auto" w:fill="FFFFFF"/>
        </w:rPr>
        <w:t xml:space="preserve"> related to food poisoning. </w:t>
      </w:r>
      <w:r w:rsidRPr="009E61C5">
        <w:rPr>
          <w:rFonts w:cs="Arial"/>
          <w:iCs/>
          <w:color w:val="222222"/>
          <w:sz w:val="20"/>
          <w:szCs w:val="20"/>
          <w:shd w:val="clear" w:color="auto" w:fill="FFFFFF"/>
        </w:rPr>
        <w:t>Applied and Environmental Microbiology</w:t>
      </w:r>
      <w:r>
        <w:rPr>
          <w:rFonts w:cs="Arial"/>
          <w:color w:val="222222"/>
          <w:sz w:val="20"/>
          <w:szCs w:val="20"/>
          <w:shd w:val="clear" w:color="auto" w:fill="FFFFFF"/>
        </w:rPr>
        <w:t> </w:t>
      </w:r>
      <w:r w:rsidRPr="009E61C5">
        <w:rPr>
          <w:rFonts w:cs="Arial"/>
          <w:iCs/>
          <w:color w:val="222222"/>
          <w:sz w:val="20"/>
          <w:szCs w:val="20"/>
          <w:shd w:val="clear" w:color="auto" w:fill="FFFFFF"/>
        </w:rPr>
        <w:t>65</w:t>
      </w:r>
      <w:r>
        <w:rPr>
          <w:rFonts w:cs="Arial"/>
          <w:color w:val="222222"/>
          <w:sz w:val="20"/>
          <w:szCs w:val="20"/>
          <w:shd w:val="clear" w:color="auto" w:fill="FFFFFF"/>
        </w:rPr>
        <w:t>:4637-4645</w:t>
      </w:r>
    </w:p>
    <w:p w14:paraId="2F711039" w14:textId="77777777" w:rsidR="0024285A" w:rsidRPr="00C55238" w:rsidRDefault="0024285A" w:rsidP="00C55238">
      <w:pPr>
        <w:rPr>
          <w:sz w:val="20"/>
          <w:szCs w:val="20"/>
        </w:rPr>
      </w:pPr>
    </w:p>
    <w:p w14:paraId="62CD49C9" w14:textId="04911F24" w:rsidR="002A26CC" w:rsidRDefault="00C55238" w:rsidP="00690206">
      <w:pPr>
        <w:rPr>
          <w:sz w:val="20"/>
          <w:szCs w:val="20"/>
        </w:rPr>
      </w:pPr>
      <w:r w:rsidRPr="00C55238">
        <w:rPr>
          <w:sz w:val="20"/>
          <w:szCs w:val="20"/>
        </w:rPr>
        <w:t xml:space="preserve">Schallmey M, Singh A, Ward OP (2004) Developments in the use of </w:t>
      </w:r>
      <w:r w:rsidRPr="00C55238">
        <w:rPr>
          <w:i/>
          <w:sz w:val="20"/>
          <w:szCs w:val="20"/>
        </w:rPr>
        <w:t>Bacillus</w:t>
      </w:r>
      <w:r w:rsidRPr="00C55238">
        <w:rPr>
          <w:sz w:val="20"/>
          <w:szCs w:val="20"/>
        </w:rPr>
        <w:t xml:space="preserve"> species for industrial production. Canadian Journal of Microbiology 50:1–17</w:t>
      </w:r>
    </w:p>
    <w:p w14:paraId="4E645B8E" w14:textId="40840837" w:rsidR="006C4DC3" w:rsidRDefault="006C4DC3" w:rsidP="00690206"/>
    <w:p w14:paraId="243C0CA2" w14:textId="1106F767" w:rsidR="006C4DC3" w:rsidRPr="006C4DC3" w:rsidRDefault="006C4DC3" w:rsidP="00690206">
      <w:pPr>
        <w:rPr>
          <w:sz w:val="20"/>
          <w:szCs w:val="20"/>
        </w:rPr>
      </w:pPr>
      <w:r w:rsidRPr="006C4DC3">
        <w:rPr>
          <w:sz w:val="20"/>
          <w:szCs w:val="20"/>
        </w:rPr>
        <w:t>Yamagata H, Masuzawa T, Nagaoka Y, Ohnishi T, Iwasaki T (1994) Cucumisin, a serine protease from melon fruits, shares structural homology with subtilisin and is generated from a large precursor.</w:t>
      </w:r>
      <w:r>
        <w:rPr>
          <w:sz w:val="20"/>
          <w:szCs w:val="20"/>
        </w:rPr>
        <w:t xml:space="preserve"> The Journal of Biological Chemistry 269:32725-31. </w:t>
      </w:r>
    </w:p>
    <w:sectPr w:rsidR="006C4DC3" w:rsidRPr="006C4DC3" w:rsidSect="00C76331">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2DF8" w14:textId="77777777" w:rsidR="00010817" w:rsidRDefault="00010817">
      <w:r>
        <w:separator/>
      </w:r>
    </w:p>
  </w:endnote>
  <w:endnote w:type="continuationSeparator" w:id="0">
    <w:p w14:paraId="03DCA3E6" w14:textId="77777777" w:rsidR="00010817" w:rsidRDefault="00010817">
      <w:r>
        <w:continuationSeparator/>
      </w:r>
    </w:p>
  </w:endnote>
  <w:endnote w:type="continuationNotice" w:id="1">
    <w:p w14:paraId="038A9113" w14:textId="77777777" w:rsidR="00010817" w:rsidRDefault="00010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1AAC62B6" w:rsidR="008017F4" w:rsidRDefault="008017F4" w:rsidP="006D7663">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8017F4" w:rsidRDefault="008017F4" w:rsidP="00DA1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36D5" w14:textId="3B1161D3" w:rsidR="008017F4" w:rsidRDefault="008017F4" w:rsidP="00C76331">
    <w:pPr>
      <w:pStyle w:val="Footer"/>
      <w:framePr w:wrap="around" w:vAnchor="text" w:hAnchor="margin" w:xAlign="center" w:y="-522"/>
      <w:jc w:val="right"/>
    </w:pPr>
    <w:r>
      <w:t xml:space="preserve">Page </w:t>
    </w:r>
    <w:r>
      <w:rPr>
        <w:b/>
        <w:bCs/>
      </w:rPr>
      <w:fldChar w:fldCharType="begin"/>
    </w:r>
    <w:r>
      <w:rPr>
        <w:b/>
        <w:bCs/>
      </w:rPr>
      <w:instrText xml:space="preserve"> PAGE  \* Arabic  \* MERGEFORMAT </w:instrText>
    </w:r>
    <w:r>
      <w:rPr>
        <w:b/>
        <w:bCs/>
      </w:rPr>
      <w:fldChar w:fldCharType="separate"/>
    </w:r>
    <w:r w:rsidR="00DA1D23">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DA1D23">
      <w:rPr>
        <w:b/>
        <w:bCs/>
        <w:noProof/>
      </w:rPr>
      <w:t>17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47668" w14:textId="77777777" w:rsidR="00010817" w:rsidRDefault="00010817">
      <w:r>
        <w:separator/>
      </w:r>
    </w:p>
  </w:footnote>
  <w:footnote w:type="continuationSeparator" w:id="0">
    <w:p w14:paraId="1D8C6760" w14:textId="77777777" w:rsidR="00010817" w:rsidRDefault="00010817">
      <w:r>
        <w:continuationSeparator/>
      </w:r>
    </w:p>
  </w:footnote>
  <w:footnote w:type="continuationNotice" w:id="1">
    <w:p w14:paraId="30CA4559" w14:textId="77777777" w:rsidR="00010817" w:rsidRDefault="00010817"/>
  </w:footnote>
  <w:footnote w:id="2">
    <w:p w14:paraId="5D345534" w14:textId="77777777" w:rsidR="008017F4" w:rsidRPr="00CD2D7C" w:rsidRDefault="008017F4" w:rsidP="00FE7B6D">
      <w:pPr>
        <w:pStyle w:val="FootnoteText"/>
        <w:rPr>
          <w:sz w:val="18"/>
          <w:szCs w:val="18"/>
          <w:lang w:val="en-AU"/>
        </w:rPr>
      </w:pPr>
      <w:r w:rsidRPr="00CD2D7C">
        <w:rPr>
          <w:rStyle w:val="FootnoteReference"/>
          <w:sz w:val="18"/>
          <w:szCs w:val="18"/>
        </w:rPr>
        <w:footnoteRef/>
      </w:r>
      <w:r w:rsidRPr="00CD2D7C">
        <w:rPr>
          <w:sz w:val="18"/>
          <w:szCs w:val="18"/>
        </w:rPr>
        <w:t xml:space="preserve"> International Union of Biochemistry and Molecular Biology.</w:t>
      </w:r>
    </w:p>
  </w:footnote>
  <w:footnote w:id="3">
    <w:p w14:paraId="3BB5862E" w14:textId="77777777" w:rsidR="008017F4" w:rsidRPr="006D0450" w:rsidRDefault="008017F4" w:rsidP="00FE7B6D">
      <w:pPr>
        <w:pStyle w:val="FootnoteText"/>
        <w:rPr>
          <w:lang w:val="en-AU"/>
        </w:rPr>
      </w:pPr>
      <w:r>
        <w:rPr>
          <w:rStyle w:val="FootnoteReference"/>
        </w:rPr>
        <w:footnoteRef/>
      </w:r>
      <w:r>
        <w:t xml:space="preserve"> </w:t>
      </w:r>
      <w:r w:rsidRPr="00E33B6D">
        <w:rPr>
          <w:sz w:val="18"/>
          <w:szCs w:val="18"/>
          <w:lang w:val="en-AU"/>
        </w:rPr>
        <w:t>Chemical Abstracts Service.</w:t>
      </w:r>
      <w:r>
        <w:rPr>
          <w:lang w:val="en-AU"/>
        </w:rPr>
        <w:t xml:space="preserve"> </w:t>
      </w:r>
    </w:p>
  </w:footnote>
  <w:footnote w:id="4">
    <w:p w14:paraId="7FDE3617" w14:textId="12BC2F24" w:rsidR="008017F4" w:rsidRPr="00864448" w:rsidRDefault="008017F4">
      <w:pPr>
        <w:pStyle w:val="FootnoteText"/>
        <w:rPr>
          <w:lang w:val="en-AU"/>
        </w:rPr>
      </w:pPr>
      <w:r>
        <w:rPr>
          <w:rStyle w:val="FootnoteReference"/>
        </w:rPr>
        <w:footnoteRef/>
      </w:r>
      <w:r>
        <w:t xml:space="preserve"> </w:t>
      </w:r>
      <w:r w:rsidRPr="000B751B">
        <w:rPr>
          <w:sz w:val="18"/>
          <w:szCs w:val="18"/>
        </w:rPr>
        <w:t xml:space="preserve">protease unit, </w:t>
      </w:r>
      <w:r w:rsidRPr="000B751B">
        <w:rPr>
          <w:sz w:val="18"/>
          <w:szCs w:val="18"/>
          <w:lang w:val="en-AU"/>
        </w:rPr>
        <w:t>enzyme activity determined relative to an enzyme standard</w:t>
      </w:r>
    </w:p>
  </w:footnote>
  <w:footnote w:id="5">
    <w:p w14:paraId="562D42FE" w14:textId="4DBC54CF" w:rsidR="008017F4" w:rsidRPr="00864448" w:rsidRDefault="008017F4">
      <w:pPr>
        <w:pStyle w:val="FootnoteText"/>
        <w:rPr>
          <w:lang w:val="en-AU"/>
        </w:rPr>
      </w:pPr>
      <w:r>
        <w:rPr>
          <w:rStyle w:val="FootnoteReference"/>
        </w:rPr>
        <w:footnoteRef/>
      </w:r>
      <w:r>
        <w:t xml:space="preserve"> </w:t>
      </w:r>
      <w:r w:rsidRPr="009D5368">
        <w:rPr>
          <w:sz w:val="18"/>
          <w:szCs w:val="18"/>
        </w:rPr>
        <w:t>To distinguish the proportion of the enzyme preparation derived from the source material and</w:t>
      </w:r>
      <w:r>
        <w:rPr>
          <w:sz w:val="18"/>
          <w:szCs w:val="18"/>
        </w:rPr>
        <w:t xml:space="preserve"> </w:t>
      </w:r>
      <w:r w:rsidRPr="009D5368">
        <w:rPr>
          <w:sz w:val="18"/>
          <w:szCs w:val="18"/>
        </w:rPr>
        <w:t>manufacturing process from that contributed by intentionally added formulation ingredients,</w:t>
      </w:r>
      <w:r>
        <w:rPr>
          <w:sz w:val="18"/>
          <w:szCs w:val="18"/>
        </w:rPr>
        <w:t xml:space="preserve"> </w:t>
      </w:r>
      <w:r w:rsidRPr="009D5368">
        <w:rPr>
          <w:sz w:val="18"/>
          <w:szCs w:val="18"/>
        </w:rPr>
        <w:t>the content of total organic solids (TOS) is calculated as follows:</w:t>
      </w:r>
      <w:r>
        <w:rPr>
          <w:sz w:val="18"/>
          <w:szCs w:val="18"/>
        </w:rPr>
        <w:t xml:space="preserve"> </w:t>
      </w:r>
      <w:r w:rsidRPr="009D5368">
        <w:rPr>
          <w:sz w:val="18"/>
          <w:szCs w:val="18"/>
        </w:rPr>
        <w:t>% TOS = 100 - (A + W + D)</w:t>
      </w:r>
      <w:r>
        <w:rPr>
          <w:sz w:val="18"/>
          <w:szCs w:val="18"/>
        </w:rPr>
        <w:t xml:space="preserve"> </w:t>
      </w:r>
      <w:r w:rsidRPr="009D5368">
        <w:rPr>
          <w:sz w:val="18"/>
          <w:szCs w:val="18"/>
        </w:rPr>
        <w:t>where:</w:t>
      </w:r>
      <w:r>
        <w:rPr>
          <w:sz w:val="18"/>
          <w:szCs w:val="18"/>
        </w:rPr>
        <w:t xml:space="preserve"> </w:t>
      </w:r>
      <w:r w:rsidRPr="009D5368">
        <w:rPr>
          <w:sz w:val="18"/>
          <w:szCs w:val="18"/>
        </w:rPr>
        <w:t>A = % ash, W = % water and D = % diluents and/or other formulation ingredients.</w:t>
      </w:r>
    </w:p>
  </w:footnote>
  <w:footnote w:id="6">
    <w:p w14:paraId="090A8695" w14:textId="2034BD8E" w:rsidR="008017F4" w:rsidRPr="009E61C5" w:rsidRDefault="008017F4">
      <w:pPr>
        <w:pStyle w:val="FootnoteText"/>
        <w:rPr>
          <w:lang w:val="en-AU"/>
        </w:rPr>
      </w:pPr>
      <w:r>
        <w:rPr>
          <w:rStyle w:val="FootnoteReference"/>
        </w:rPr>
        <w:footnoteRef/>
      </w:r>
      <w:r>
        <w:t xml:space="preserve"> </w:t>
      </w:r>
      <w:r>
        <w:rPr>
          <w:color w:val="000000"/>
          <w:shd w:val="clear" w:color="auto" w:fill="FFFFFF"/>
        </w:rPr>
        <w:t>Vero cells are derived from the kidney of an African green monkey, and are continuous cell lines commonly used in microbiological research.</w:t>
      </w:r>
    </w:p>
  </w:footnote>
  <w:footnote w:id="7">
    <w:p w14:paraId="4037E3C3" w14:textId="77777777" w:rsidR="008017F4" w:rsidRPr="006C4DC3" w:rsidRDefault="008017F4" w:rsidP="006671DE">
      <w:pPr>
        <w:pStyle w:val="FootnoteText"/>
        <w:rPr>
          <w:lang w:val="en-AU"/>
        </w:rPr>
      </w:pPr>
      <w:r>
        <w:rPr>
          <w:rStyle w:val="FootnoteReference"/>
        </w:rPr>
        <w:footnoteRef/>
      </w:r>
      <w:r>
        <w:t xml:space="preserve"> </w:t>
      </w:r>
      <w:hyperlink r:id="rId1" w:history="1">
        <w:r w:rsidRPr="006C4DC3">
          <w:rPr>
            <w:rStyle w:val="Hyperlink"/>
            <w:lang w:val="en-AU"/>
          </w:rPr>
          <w:t>GRAS notice 714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4AF692D5" w:rsidR="008017F4" w:rsidRDefault="008017F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FA0076"/>
    <w:multiLevelType w:val="hybridMultilevel"/>
    <w:tmpl w:val="35FC619C"/>
    <w:lvl w:ilvl="0" w:tplc="2B48B728">
      <w:start w:val="1"/>
      <w:numFmt w:val="bullet"/>
      <w:pStyle w:val="AARBullet"/>
      <w:lvlText w:val=""/>
      <w:lvlJc w:val="left"/>
      <w:pPr>
        <w:ind w:left="360" w:hanging="360"/>
      </w:pPr>
      <w:rPr>
        <w:rFonts w:ascii="Symbol" w:hAnsi="Symbol" w:hint="default"/>
        <w:color w:val="auto"/>
        <w:sz w:val="24"/>
      </w:rPr>
    </w:lvl>
    <w:lvl w:ilvl="1" w:tplc="42E4712C">
      <w:start w:val="1"/>
      <w:numFmt w:val="bullet"/>
      <w:lvlText w:val=""/>
      <w:lvlJc w:val="left"/>
      <w:pPr>
        <w:tabs>
          <w:tab w:val="num" w:pos="1647"/>
        </w:tabs>
        <w:ind w:left="1647" w:hanging="56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47F6006"/>
    <w:multiLevelType w:val="multilevel"/>
    <w:tmpl w:val="A594ACB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6716FB4"/>
    <w:multiLevelType w:val="hybridMultilevel"/>
    <w:tmpl w:val="468E4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8"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7"/>
  </w:num>
  <w:num w:numId="8">
    <w:abstractNumId w:val="7"/>
  </w:num>
  <w:num w:numId="9">
    <w:abstractNumId w:val="1"/>
  </w:num>
  <w:num w:numId="10">
    <w:abstractNumId w:val="8"/>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79"/>
    <w:rsid w:val="00001CF2"/>
    <w:rsid w:val="0000247B"/>
    <w:rsid w:val="00002ED1"/>
    <w:rsid w:val="0000469B"/>
    <w:rsid w:val="00005942"/>
    <w:rsid w:val="00010817"/>
    <w:rsid w:val="00014018"/>
    <w:rsid w:val="00035FF3"/>
    <w:rsid w:val="00040F65"/>
    <w:rsid w:val="0004765B"/>
    <w:rsid w:val="00051021"/>
    <w:rsid w:val="00051ED9"/>
    <w:rsid w:val="00056168"/>
    <w:rsid w:val="00057181"/>
    <w:rsid w:val="00061C23"/>
    <w:rsid w:val="0006473A"/>
    <w:rsid w:val="00064B2D"/>
    <w:rsid w:val="00065F1F"/>
    <w:rsid w:val="00075FC4"/>
    <w:rsid w:val="00076D33"/>
    <w:rsid w:val="000907E7"/>
    <w:rsid w:val="00092CDA"/>
    <w:rsid w:val="0009690B"/>
    <w:rsid w:val="000A27E9"/>
    <w:rsid w:val="000A3D8B"/>
    <w:rsid w:val="000A3EFC"/>
    <w:rsid w:val="000A4A62"/>
    <w:rsid w:val="000A5DF8"/>
    <w:rsid w:val="000B4825"/>
    <w:rsid w:val="000B6AF2"/>
    <w:rsid w:val="000B751B"/>
    <w:rsid w:val="000C0DCF"/>
    <w:rsid w:val="000C395C"/>
    <w:rsid w:val="000D30AF"/>
    <w:rsid w:val="000D327C"/>
    <w:rsid w:val="000D5094"/>
    <w:rsid w:val="000D6FD4"/>
    <w:rsid w:val="000E0AE4"/>
    <w:rsid w:val="000E3DBC"/>
    <w:rsid w:val="000F36BD"/>
    <w:rsid w:val="000F5CD2"/>
    <w:rsid w:val="001079CE"/>
    <w:rsid w:val="00112538"/>
    <w:rsid w:val="00113CE3"/>
    <w:rsid w:val="00117522"/>
    <w:rsid w:val="0012120A"/>
    <w:rsid w:val="0012676E"/>
    <w:rsid w:val="00130602"/>
    <w:rsid w:val="001344B0"/>
    <w:rsid w:val="0013531E"/>
    <w:rsid w:val="00136154"/>
    <w:rsid w:val="001412FB"/>
    <w:rsid w:val="00142233"/>
    <w:rsid w:val="001438AA"/>
    <w:rsid w:val="001542D8"/>
    <w:rsid w:val="00157E2C"/>
    <w:rsid w:val="00163F14"/>
    <w:rsid w:val="00166FC5"/>
    <w:rsid w:val="00173623"/>
    <w:rsid w:val="00175CB9"/>
    <w:rsid w:val="00180C41"/>
    <w:rsid w:val="00182C4C"/>
    <w:rsid w:val="00194F1A"/>
    <w:rsid w:val="00197D8D"/>
    <w:rsid w:val="001A0478"/>
    <w:rsid w:val="001A1A75"/>
    <w:rsid w:val="001A7E9A"/>
    <w:rsid w:val="001B30EA"/>
    <w:rsid w:val="001B327D"/>
    <w:rsid w:val="001B41AB"/>
    <w:rsid w:val="001B4E4B"/>
    <w:rsid w:val="001C2160"/>
    <w:rsid w:val="001C27A3"/>
    <w:rsid w:val="001C4FE3"/>
    <w:rsid w:val="001C5295"/>
    <w:rsid w:val="001C7ED7"/>
    <w:rsid w:val="001D2A39"/>
    <w:rsid w:val="001D6913"/>
    <w:rsid w:val="001E09FA"/>
    <w:rsid w:val="001E3004"/>
    <w:rsid w:val="001E7006"/>
    <w:rsid w:val="001E7055"/>
    <w:rsid w:val="001F0422"/>
    <w:rsid w:val="00203540"/>
    <w:rsid w:val="0021612B"/>
    <w:rsid w:val="0022083A"/>
    <w:rsid w:val="00221D07"/>
    <w:rsid w:val="00222F40"/>
    <w:rsid w:val="00227E4A"/>
    <w:rsid w:val="0023255A"/>
    <w:rsid w:val="00232978"/>
    <w:rsid w:val="00232D32"/>
    <w:rsid w:val="00237684"/>
    <w:rsid w:val="002423E9"/>
    <w:rsid w:val="0024285A"/>
    <w:rsid w:val="0024582E"/>
    <w:rsid w:val="00245C56"/>
    <w:rsid w:val="00250B8C"/>
    <w:rsid w:val="002547EF"/>
    <w:rsid w:val="00255A82"/>
    <w:rsid w:val="00255B3F"/>
    <w:rsid w:val="00255D7E"/>
    <w:rsid w:val="00256D65"/>
    <w:rsid w:val="0026401A"/>
    <w:rsid w:val="0026696C"/>
    <w:rsid w:val="00271EA1"/>
    <w:rsid w:val="00271F00"/>
    <w:rsid w:val="00273A80"/>
    <w:rsid w:val="00274932"/>
    <w:rsid w:val="00274EE2"/>
    <w:rsid w:val="00281237"/>
    <w:rsid w:val="002854A7"/>
    <w:rsid w:val="00287159"/>
    <w:rsid w:val="00287352"/>
    <w:rsid w:val="0029120E"/>
    <w:rsid w:val="0029204E"/>
    <w:rsid w:val="0029371D"/>
    <w:rsid w:val="00293AC0"/>
    <w:rsid w:val="0029631C"/>
    <w:rsid w:val="002A0194"/>
    <w:rsid w:val="002A216A"/>
    <w:rsid w:val="002A26CC"/>
    <w:rsid w:val="002A3314"/>
    <w:rsid w:val="002A55FA"/>
    <w:rsid w:val="002A5F8B"/>
    <w:rsid w:val="002A7F6C"/>
    <w:rsid w:val="002B0D2B"/>
    <w:rsid w:val="002C01CE"/>
    <w:rsid w:val="002C1274"/>
    <w:rsid w:val="002C25C5"/>
    <w:rsid w:val="002C396D"/>
    <w:rsid w:val="002C44CD"/>
    <w:rsid w:val="002D01B4"/>
    <w:rsid w:val="002D6809"/>
    <w:rsid w:val="002E1E68"/>
    <w:rsid w:val="002E57A8"/>
    <w:rsid w:val="002F4DDF"/>
    <w:rsid w:val="002F6488"/>
    <w:rsid w:val="002F7D86"/>
    <w:rsid w:val="00302FD9"/>
    <w:rsid w:val="00314273"/>
    <w:rsid w:val="00314BC8"/>
    <w:rsid w:val="00320839"/>
    <w:rsid w:val="003213F9"/>
    <w:rsid w:val="00323DBF"/>
    <w:rsid w:val="00324A70"/>
    <w:rsid w:val="003255CB"/>
    <w:rsid w:val="00326D85"/>
    <w:rsid w:val="00327E9D"/>
    <w:rsid w:val="003309A8"/>
    <w:rsid w:val="00332B12"/>
    <w:rsid w:val="003350C4"/>
    <w:rsid w:val="00343534"/>
    <w:rsid w:val="003440BA"/>
    <w:rsid w:val="00351B07"/>
    <w:rsid w:val="00352CF2"/>
    <w:rsid w:val="003532D2"/>
    <w:rsid w:val="003577F1"/>
    <w:rsid w:val="00364841"/>
    <w:rsid w:val="00371B29"/>
    <w:rsid w:val="0037656B"/>
    <w:rsid w:val="00386F15"/>
    <w:rsid w:val="00391769"/>
    <w:rsid w:val="003953E1"/>
    <w:rsid w:val="003956B3"/>
    <w:rsid w:val="00396758"/>
    <w:rsid w:val="003A0E60"/>
    <w:rsid w:val="003A1E0E"/>
    <w:rsid w:val="003A36BB"/>
    <w:rsid w:val="003A63F2"/>
    <w:rsid w:val="003A68BE"/>
    <w:rsid w:val="003B1805"/>
    <w:rsid w:val="003B3C9D"/>
    <w:rsid w:val="003B4969"/>
    <w:rsid w:val="003B78E0"/>
    <w:rsid w:val="003C09B6"/>
    <w:rsid w:val="003C3F16"/>
    <w:rsid w:val="003C4969"/>
    <w:rsid w:val="003C6F5E"/>
    <w:rsid w:val="003D1379"/>
    <w:rsid w:val="003D1C6C"/>
    <w:rsid w:val="003D2D87"/>
    <w:rsid w:val="003D3F17"/>
    <w:rsid w:val="003E41D5"/>
    <w:rsid w:val="003E46BA"/>
    <w:rsid w:val="003E7D22"/>
    <w:rsid w:val="003F2D00"/>
    <w:rsid w:val="003F5CAB"/>
    <w:rsid w:val="003F74C1"/>
    <w:rsid w:val="00401AFE"/>
    <w:rsid w:val="00405B1A"/>
    <w:rsid w:val="00407ED2"/>
    <w:rsid w:val="00410C76"/>
    <w:rsid w:val="00411907"/>
    <w:rsid w:val="004131B8"/>
    <w:rsid w:val="00413CA8"/>
    <w:rsid w:val="00417EE3"/>
    <w:rsid w:val="00420415"/>
    <w:rsid w:val="004207EB"/>
    <w:rsid w:val="0042292B"/>
    <w:rsid w:val="00423ED5"/>
    <w:rsid w:val="00424B5C"/>
    <w:rsid w:val="00424C1A"/>
    <w:rsid w:val="0042603F"/>
    <w:rsid w:val="00431BF6"/>
    <w:rsid w:val="00431F0E"/>
    <w:rsid w:val="0043204D"/>
    <w:rsid w:val="00437276"/>
    <w:rsid w:val="004518E4"/>
    <w:rsid w:val="004550B1"/>
    <w:rsid w:val="00456B54"/>
    <w:rsid w:val="004606E4"/>
    <w:rsid w:val="00464643"/>
    <w:rsid w:val="00465E86"/>
    <w:rsid w:val="004667C3"/>
    <w:rsid w:val="00466B05"/>
    <w:rsid w:val="00467788"/>
    <w:rsid w:val="00472CD2"/>
    <w:rsid w:val="00474E6A"/>
    <w:rsid w:val="00475A54"/>
    <w:rsid w:val="00476C76"/>
    <w:rsid w:val="004778F7"/>
    <w:rsid w:val="00481D43"/>
    <w:rsid w:val="00482C20"/>
    <w:rsid w:val="00486793"/>
    <w:rsid w:val="00495B0F"/>
    <w:rsid w:val="004A2037"/>
    <w:rsid w:val="004A22DB"/>
    <w:rsid w:val="004A3D2A"/>
    <w:rsid w:val="004A7BEB"/>
    <w:rsid w:val="004B0E39"/>
    <w:rsid w:val="004B1072"/>
    <w:rsid w:val="004B7348"/>
    <w:rsid w:val="004C2CE7"/>
    <w:rsid w:val="004C566B"/>
    <w:rsid w:val="004D18F4"/>
    <w:rsid w:val="004D78FA"/>
    <w:rsid w:val="004E1753"/>
    <w:rsid w:val="004E4D11"/>
    <w:rsid w:val="004F4F98"/>
    <w:rsid w:val="004F69F6"/>
    <w:rsid w:val="004F79AC"/>
    <w:rsid w:val="005017CF"/>
    <w:rsid w:val="0051636A"/>
    <w:rsid w:val="00517089"/>
    <w:rsid w:val="005174F2"/>
    <w:rsid w:val="005207D8"/>
    <w:rsid w:val="0052399B"/>
    <w:rsid w:val="00526843"/>
    <w:rsid w:val="0053464E"/>
    <w:rsid w:val="0054272D"/>
    <w:rsid w:val="00542EAE"/>
    <w:rsid w:val="00545435"/>
    <w:rsid w:val="005467DB"/>
    <w:rsid w:val="005604D3"/>
    <w:rsid w:val="00562917"/>
    <w:rsid w:val="00565666"/>
    <w:rsid w:val="00565FE7"/>
    <w:rsid w:val="0057306D"/>
    <w:rsid w:val="0057615C"/>
    <w:rsid w:val="00576C6D"/>
    <w:rsid w:val="005861F0"/>
    <w:rsid w:val="00586228"/>
    <w:rsid w:val="00591BFD"/>
    <w:rsid w:val="005A1D97"/>
    <w:rsid w:val="005A205F"/>
    <w:rsid w:val="005A45FC"/>
    <w:rsid w:val="005A58F3"/>
    <w:rsid w:val="005B10BC"/>
    <w:rsid w:val="005B59CE"/>
    <w:rsid w:val="005B6AF4"/>
    <w:rsid w:val="005B6E24"/>
    <w:rsid w:val="005B7A73"/>
    <w:rsid w:val="005C04CB"/>
    <w:rsid w:val="005C6C42"/>
    <w:rsid w:val="005C7215"/>
    <w:rsid w:val="005D16AD"/>
    <w:rsid w:val="005D72E1"/>
    <w:rsid w:val="005D72E2"/>
    <w:rsid w:val="005D7C80"/>
    <w:rsid w:val="005E6E16"/>
    <w:rsid w:val="005F09EB"/>
    <w:rsid w:val="005F1891"/>
    <w:rsid w:val="005F400E"/>
    <w:rsid w:val="005F4482"/>
    <w:rsid w:val="005F7342"/>
    <w:rsid w:val="0060270F"/>
    <w:rsid w:val="00603A08"/>
    <w:rsid w:val="00610A3C"/>
    <w:rsid w:val="006148E4"/>
    <w:rsid w:val="00617774"/>
    <w:rsid w:val="0062012A"/>
    <w:rsid w:val="006203A1"/>
    <w:rsid w:val="00622592"/>
    <w:rsid w:val="00624243"/>
    <w:rsid w:val="00627F48"/>
    <w:rsid w:val="00630C23"/>
    <w:rsid w:val="00642903"/>
    <w:rsid w:val="006460AB"/>
    <w:rsid w:val="00663FCF"/>
    <w:rsid w:val="0066443C"/>
    <w:rsid w:val="006652A2"/>
    <w:rsid w:val="00665FEF"/>
    <w:rsid w:val="006671DE"/>
    <w:rsid w:val="00671A42"/>
    <w:rsid w:val="00671CEC"/>
    <w:rsid w:val="006751A2"/>
    <w:rsid w:val="00680E94"/>
    <w:rsid w:val="00681FF9"/>
    <w:rsid w:val="00690206"/>
    <w:rsid w:val="006937FF"/>
    <w:rsid w:val="006A48A7"/>
    <w:rsid w:val="006B1E71"/>
    <w:rsid w:val="006B30A2"/>
    <w:rsid w:val="006B447D"/>
    <w:rsid w:val="006B4BA1"/>
    <w:rsid w:val="006B5EBE"/>
    <w:rsid w:val="006B62E4"/>
    <w:rsid w:val="006B642F"/>
    <w:rsid w:val="006B7019"/>
    <w:rsid w:val="006C13C5"/>
    <w:rsid w:val="006C4DC3"/>
    <w:rsid w:val="006C5CF5"/>
    <w:rsid w:val="006C7C86"/>
    <w:rsid w:val="006D2C4A"/>
    <w:rsid w:val="006D7663"/>
    <w:rsid w:val="006E0C23"/>
    <w:rsid w:val="006F4A82"/>
    <w:rsid w:val="006F610D"/>
    <w:rsid w:val="0070373B"/>
    <w:rsid w:val="00715CF9"/>
    <w:rsid w:val="00715E9A"/>
    <w:rsid w:val="00716F15"/>
    <w:rsid w:val="00722047"/>
    <w:rsid w:val="00723016"/>
    <w:rsid w:val="00723123"/>
    <w:rsid w:val="00724FA4"/>
    <w:rsid w:val="00730800"/>
    <w:rsid w:val="00732632"/>
    <w:rsid w:val="007373B4"/>
    <w:rsid w:val="00740703"/>
    <w:rsid w:val="00746D48"/>
    <w:rsid w:val="00753044"/>
    <w:rsid w:val="007567EB"/>
    <w:rsid w:val="007602AA"/>
    <w:rsid w:val="00760CEF"/>
    <w:rsid w:val="007652EF"/>
    <w:rsid w:val="00765302"/>
    <w:rsid w:val="00770C2B"/>
    <w:rsid w:val="00772BDC"/>
    <w:rsid w:val="00775932"/>
    <w:rsid w:val="007771C5"/>
    <w:rsid w:val="00780792"/>
    <w:rsid w:val="00781F7B"/>
    <w:rsid w:val="00782574"/>
    <w:rsid w:val="00782B4D"/>
    <w:rsid w:val="00782EA2"/>
    <w:rsid w:val="00785976"/>
    <w:rsid w:val="00796562"/>
    <w:rsid w:val="007970FB"/>
    <w:rsid w:val="007A3F72"/>
    <w:rsid w:val="007A44B4"/>
    <w:rsid w:val="007A7D3D"/>
    <w:rsid w:val="007B225D"/>
    <w:rsid w:val="007C174F"/>
    <w:rsid w:val="007C1C64"/>
    <w:rsid w:val="007C7B70"/>
    <w:rsid w:val="007D00C8"/>
    <w:rsid w:val="007D03EA"/>
    <w:rsid w:val="007D4C99"/>
    <w:rsid w:val="007D5EA8"/>
    <w:rsid w:val="007E12D2"/>
    <w:rsid w:val="007E48BC"/>
    <w:rsid w:val="007E79F7"/>
    <w:rsid w:val="007F3630"/>
    <w:rsid w:val="007F3F57"/>
    <w:rsid w:val="007F47FA"/>
    <w:rsid w:val="007F4A66"/>
    <w:rsid w:val="007F6006"/>
    <w:rsid w:val="008017F4"/>
    <w:rsid w:val="00807559"/>
    <w:rsid w:val="008125D3"/>
    <w:rsid w:val="00815FEC"/>
    <w:rsid w:val="00822667"/>
    <w:rsid w:val="00826AF7"/>
    <w:rsid w:val="00827722"/>
    <w:rsid w:val="00832E9D"/>
    <w:rsid w:val="00833ADD"/>
    <w:rsid w:val="0084012A"/>
    <w:rsid w:val="00840DB4"/>
    <w:rsid w:val="008450BC"/>
    <w:rsid w:val="00846A4A"/>
    <w:rsid w:val="00846C77"/>
    <w:rsid w:val="00852545"/>
    <w:rsid w:val="0085334B"/>
    <w:rsid w:val="008563BB"/>
    <w:rsid w:val="00864448"/>
    <w:rsid w:val="00866703"/>
    <w:rsid w:val="00867A45"/>
    <w:rsid w:val="00870214"/>
    <w:rsid w:val="008857B1"/>
    <w:rsid w:val="00885C51"/>
    <w:rsid w:val="00885EB0"/>
    <w:rsid w:val="00891F4B"/>
    <w:rsid w:val="0089264A"/>
    <w:rsid w:val="00892B02"/>
    <w:rsid w:val="00894537"/>
    <w:rsid w:val="00896B85"/>
    <w:rsid w:val="008A22BE"/>
    <w:rsid w:val="008B2179"/>
    <w:rsid w:val="008B36E6"/>
    <w:rsid w:val="008C1B36"/>
    <w:rsid w:val="008C38B9"/>
    <w:rsid w:val="008C6B8D"/>
    <w:rsid w:val="008D06C6"/>
    <w:rsid w:val="008D1033"/>
    <w:rsid w:val="008D4BE1"/>
    <w:rsid w:val="008E6250"/>
    <w:rsid w:val="008E6E54"/>
    <w:rsid w:val="008E705F"/>
    <w:rsid w:val="008E74B6"/>
    <w:rsid w:val="008F4970"/>
    <w:rsid w:val="0090063F"/>
    <w:rsid w:val="00902AF6"/>
    <w:rsid w:val="00903450"/>
    <w:rsid w:val="00905681"/>
    <w:rsid w:val="00905D4B"/>
    <w:rsid w:val="00910FD4"/>
    <w:rsid w:val="00915EF8"/>
    <w:rsid w:val="00920249"/>
    <w:rsid w:val="00924C80"/>
    <w:rsid w:val="00926F06"/>
    <w:rsid w:val="00926FA9"/>
    <w:rsid w:val="00932F14"/>
    <w:rsid w:val="00936918"/>
    <w:rsid w:val="0094247F"/>
    <w:rsid w:val="00942D60"/>
    <w:rsid w:val="0094521D"/>
    <w:rsid w:val="00947E2E"/>
    <w:rsid w:val="00950F5D"/>
    <w:rsid w:val="0095171F"/>
    <w:rsid w:val="00955355"/>
    <w:rsid w:val="0096523B"/>
    <w:rsid w:val="00966EE3"/>
    <w:rsid w:val="00972D06"/>
    <w:rsid w:val="00974285"/>
    <w:rsid w:val="0097443E"/>
    <w:rsid w:val="0097662A"/>
    <w:rsid w:val="009827AA"/>
    <w:rsid w:val="00987858"/>
    <w:rsid w:val="00993285"/>
    <w:rsid w:val="00997296"/>
    <w:rsid w:val="009A0429"/>
    <w:rsid w:val="009A2CEA"/>
    <w:rsid w:val="009A391C"/>
    <w:rsid w:val="009A50F2"/>
    <w:rsid w:val="009B20E4"/>
    <w:rsid w:val="009B2399"/>
    <w:rsid w:val="009B6659"/>
    <w:rsid w:val="009C0ACF"/>
    <w:rsid w:val="009C12B1"/>
    <w:rsid w:val="009D03BA"/>
    <w:rsid w:val="009D2D49"/>
    <w:rsid w:val="009E0A61"/>
    <w:rsid w:val="009E0B40"/>
    <w:rsid w:val="009E3010"/>
    <w:rsid w:val="009E445A"/>
    <w:rsid w:val="009E61C5"/>
    <w:rsid w:val="009F007E"/>
    <w:rsid w:val="009F00FC"/>
    <w:rsid w:val="009F7065"/>
    <w:rsid w:val="00A02A30"/>
    <w:rsid w:val="00A12D81"/>
    <w:rsid w:val="00A16428"/>
    <w:rsid w:val="00A21F1F"/>
    <w:rsid w:val="00A23012"/>
    <w:rsid w:val="00A23021"/>
    <w:rsid w:val="00A25E8E"/>
    <w:rsid w:val="00A33635"/>
    <w:rsid w:val="00A40C03"/>
    <w:rsid w:val="00A4175D"/>
    <w:rsid w:val="00A56DC7"/>
    <w:rsid w:val="00A74FD1"/>
    <w:rsid w:val="00A75434"/>
    <w:rsid w:val="00A75AF1"/>
    <w:rsid w:val="00A77BFA"/>
    <w:rsid w:val="00A84A58"/>
    <w:rsid w:val="00A93F0B"/>
    <w:rsid w:val="00A9548F"/>
    <w:rsid w:val="00AA00AF"/>
    <w:rsid w:val="00AA15F4"/>
    <w:rsid w:val="00AB4F2F"/>
    <w:rsid w:val="00AB79BF"/>
    <w:rsid w:val="00AC6A11"/>
    <w:rsid w:val="00AD1BA9"/>
    <w:rsid w:val="00AD5A7C"/>
    <w:rsid w:val="00AE54A5"/>
    <w:rsid w:val="00AE6268"/>
    <w:rsid w:val="00AF06FC"/>
    <w:rsid w:val="00AF3391"/>
    <w:rsid w:val="00AF387F"/>
    <w:rsid w:val="00AF76E2"/>
    <w:rsid w:val="00B00E7F"/>
    <w:rsid w:val="00B035E4"/>
    <w:rsid w:val="00B0418F"/>
    <w:rsid w:val="00B04D32"/>
    <w:rsid w:val="00B05CCA"/>
    <w:rsid w:val="00B12243"/>
    <w:rsid w:val="00B12F1E"/>
    <w:rsid w:val="00B173DA"/>
    <w:rsid w:val="00B20D87"/>
    <w:rsid w:val="00B21DCC"/>
    <w:rsid w:val="00B25523"/>
    <w:rsid w:val="00B25F37"/>
    <w:rsid w:val="00B26FE7"/>
    <w:rsid w:val="00B34C47"/>
    <w:rsid w:val="00B3521D"/>
    <w:rsid w:val="00B37BF0"/>
    <w:rsid w:val="00B43ABB"/>
    <w:rsid w:val="00B43DBD"/>
    <w:rsid w:val="00B44422"/>
    <w:rsid w:val="00B46EA0"/>
    <w:rsid w:val="00B51823"/>
    <w:rsid w:val="00B649CA"/>
    <w:rsid w:val="00B731D3"/>
    <w:rsid w:val="00B76079"/>
    <w:rsid w:val="00B7622B"/>
    <w:rsid w:val="00B77C72"/>
    <w:rsid w:val="00B839A3"/>
    <w:rsid w:val="00B87F4A"/>
    <w:rsid w:val="00B902BD"/>
    <w:rsid w:val="00B91827"/>
    <w:rsid w:val="00B91A12"/>
    <w:rsid w:val="00B97774"/>
    <w:rsid w:val="00BA18D1"/>
    <w:rsid w:val="00BA22CD"/>
    <w:rsid w:val="00BA24E2"/>
    <w:rsid w:val="00BA4783"/>
    <w:rsid w:val="00BA4A67"/>
    <w:rsid w:val="00BB0603"/>
    <w:rsid w:val="00BB1574"/>
    <w:rsid w:val="00BB2476"/>
    <w:rsid w:val="00BC0A6A"/>
    <w:rsid w:val="00BC6368"/>
    <w:rsid w:val="00BD2A39"/>
    <w:rsid w:val="00BD2E80"/>
    <w:rsid w:val="00BE05FB"/>
    <w:rsid w:val="00BE11B8"/>
    <w:rsid w:val="00BE5684"/>
    <w:rsid w:val="00BF7FF0"/>
    <w:rsid w:val="00C0158C"/>
    <w:rsid w:val="00C01858"/>
    <w:rsid w:val="00C057F4"/>
    <w:rsid w:val="00C12502"/>
    <w:rsid w:val="00C13369"/>
    <w:rsid w:val="00C3081F"/>
    <w:rsid w:val="00C315E1"/>
    <w:rsid w:val="00C31744"/>
    <w:rsid w:val="00C36578"/>
    <w:rsid w:val="00C40AA5"/>
    <w:rsid w:val="00C417A3"/>
    <w:rsid w:val="00C46F70"/>
    <w:rsid w:val="00C476D0"/>
    <w:rsid w:val="00C55238"/>
    <w:rsid w:val="00C55B44"/>
    <w:rsid w:val="00C61AC1"/>
    <w:rsid w:val="00C62C5B"/>
    <w:rsid w:val="00C63C6B"/>
    <w:rsid w:val="00C76331"/>
    <w:rsid w:val="00C8038E"/>
    <w:rsid w:val="00C83137"/>
    <w:rsid w:val="00C836E3"/>
    <w:rsid w:val="00C86577"/>
    <w:rsid w:val="00C92E07"/>
    <w:rsid w:val="00C93331"/>
    <w:rsid w:val="00C96868"/>
    <w:rsid w:val="00C969D7"/>
    <w:rsid w:val="00CA0416"/>
    <w:rsid w:val="00CA07D0"/>
    <w:rsid w:val="00CA2240"/>
    <w:rsid w:val="00CA36C5"/>
    <w:rsid w:val="00CA4F82"/>
    <w:rsid w:val="00CA641D"/>
    <w:rsid w:val="00CA7900"/>
    <w:rsid w:val="00CB0751"/>
    <w:rsid w:val="00CB09AC"/>
    <w:rsid w:val="00CB5C33"/>
    <w:rsid w:val="00CC40EA"/>
    <w:rsid w:val="00CC560B"/>
    <w:rsid w:val="00CC75E2"/>
    <w:rsid w:val="00CD278A"/>
    <w:rsid w:val="00CD340A"/>
    <w:rsid w:val="00CD46EB"/>
    <w:rsid w:val="00CD7EBF"/>
    <w:rsid w:val="00CE73C7"/>
    <w:rsid w:val="00CF02D5"/>
    <w:rsid w:val="00CF19B2"/>
    <w:rsid w:val="00D00C22"/>
    <w:rsid w:val="00D056F1"/>
    <w:rsid w:val="00D11171"/>
    <w:rsid w:val="00D1191A"/>
    <w:rsid w:val="00D11DE5"/>
    <w:rsid w:val="00D12D28"/>
    <w:rsid w:val="00D156CC"/>
    <w:rsid w:val="00D15749"/>
    <w:rsid w:val="00D16095"/>
    <w:rsid w:val="00D17578"/>
    <w:rsid w:val="00D22F3C"/>
    <w:rsid w:val="00D23DB6"/>
    <w:rsid w:val="00D26F0E"/>
    <w:rsid w:val="00D302B1"/>
    <w:rsid w:val="00D35739"/>
    <w:rsid w:val="00D4226C"/>
    <w:rsid w:val="00D43FE6"/>
    <w:rsid w:val="00D47A3B"/>
    <w:rsid w:val="00D51A95"/>
    <w:rsid w:val="00D564B6"/>
    <w:rsid w:val="00D57A3C"/>
    <w:rsid w:val="00D60568"/>
    <w:rsid w:val="00D648B8"/>
    <w:rsid w:val="00D6624C"/>
    <w:rsid w:val="00D70C7A"/>
    <w:rsid w:val="00D70D2D"/>
    <w:rsid w:val="00D75DAD"/>
    <w:rsid w:val="00D81328"/>
    <w:rsid w:val="00D8174E"/>
    <w:rsid w:val="00D81D38"/>
    <w:rsid w:val="00D87466"/>
    <w:rsid w:val="00D8753C"/>
    <w:rsid w:val="00D87C60"/>
    <w:rsid w:val="00D937E9"/>
    <w:rsid w:val="00D9620E"/>
    <w:rsid w:val="00DA10A8"/>
    <w:rsid w:val="00DA127B"/>
    <w:rsid w:val="00DA1D23"/>
    <w:rsid w:val="00DA48E3"/>
    <w:rsid w:val="00DA6D75"/>
    <w:rsid w:val="00DB1E08"/>
    <w:rsid w:val="00DB2973"/>
    <w:rsid w:val="00DC1B56"/>
    <w:rsid w:val="00DC2129"/>
    <w:rsid w:val="00DC6570"/>
    <w:rsid w:val="00DD1D43"/>
    <w:rsid w:val="00DD3C5E"/>
    <w:rsid w:val="00DD6672"/>
    <w:rsid w:val="00DE5037"/>
    <w:rsid w:val="00DE5CAE"/>
    <w:rsid w:val="00DF25C3"/>
    <w:rsid w:val="00DF508D"/>
    <w:rsid w:val="00DF7711"/>
    <w:rsid w:val="00E0069F"/>
    <w:rsid w:val="00E0375E"/>
    <w:rsid w:val="00E04062"/>
    <w:rsid w:val="00E063C6"/>
    <w:rsid w:val="00E066BA"/>
    <w:rsid w:val="00E173DB"/>
    <w:rsid w:val="00E2003B"/>
    <w:rsid w:val="00E203C2"/>
    <w:rsid w:val="00E279D8"/>
    <w:rsid w:val="00E319B1"/>
    <w:rsid w:val="00E34403"/>
    <w:rsid w:val="00E374EE"/>
    <w:rsid w:val="00E405A7"/>
    <w:rsid w:val="00E44E0D"/>
    <w:rsid w:val="00E47B32"/>
    <w:rsid w:val="00E50AC6"/>
    <w:rsid w:val="00E5492F"/>
    <w:rsid w:val="00E55FD4"/>
    <w:rsid w:val="00E56BBD"/>
    <w:rsid w:val="00E6195F"/>
    <w:rsid w:val="00E62DEF"/>
    <w:rsid w:val="00E664B4"/>
    <w:rsid w:val="00E70A86"/>
    <w:rsid w:val="00E72B6E"/>
    <w:rsid w:val="00E72C2A"/>
    <w:rsid w:val="00E74E2F"/>
    <w:rsid w:val="00E74F91"/>
    <w:rsid w:val="00E777EC"/>
    <w:rsid w:val="00E802CE"/>
    <w:rsid w:val="00E80FCD"/>
    <w:rsid w:val="00E8485F"/>
    <w:rsid w:val="00E875EA"/>
    <w:rsid w:val="00E925C7"/>
    <w:rsid w:val="00E93A66"/>
    <w:rsid w:val="00E96C9B"/>
    <w:rsid w:val="00EA04F1"/>
    <w:rsid w:val="00EA7F2F"/>
    <w:rsid w:val="00EB622D"/>
    <w:rsid w:val="00EB75BF"/>
    <w:rsid w:val="00EC00DE"/>
    <w:rsid w:val="00EC1F11"/>
    <w:rsid w:val="00EC30E1"/>
    <w:rsid w:val="00EC4A88"/>
    <w:rsid w:val="00EC5B86"/>
    <w:rsid w:val="00EC5BAF"/>
    <w:rsid w:val="00ED172A"/>
    <w:rsid w:val="00ED1CBC"/>
    <w:rsid w:val="00ED26FD"/>
    <w:rsid w:val="00ED366E"/>
    <w:rsid w:val="00ED42B4"/>
    <w:rsid w:val="00ED4710"/>
    <w:rsid w:val="00ED5A4E"/>
    <w:rsid w:val="00EE4425"/>
    <w:rsid w:val="00EE55D8"/>
    <w:rsid w:val="00EF1E27"/>
    <w:rsid w:val="00EF2F02"/>
    <w:rsid w:val="00F02A60"/>
    <w:rsid w:val="00F11F6C"/>
    <w:rsid w:val="00F14BEC"/>
    <w:rsid w:val="00F21A4E"/>
    <w:rsid w:val="00F225C5"/>
    <w:rsid w:val="00F2587A"/>
    <w:rsid w:val="00F27740"/>
    <w:rsid w:val="00F328EB"/>
    <w:rsid w:val="00F3587D"/>
    <w:rsid w:val="00F3715D"/>
    <w:rsid w:val="00F41170"/>
    <w:rsid w:val="00F420C8"/>
    <w:rsid w:val="00F42A4C"/>
    <w:rsid w:val="00F604DE"/>
    <w:rsid w:val="00F60C69"/>
    <w:rsid w:val="00F63854"/>
    <w:rsid w:val="00F75EC5"/>
    <w:rsid w:val="00F80A5B"/>
    <w:rsid w:val="00F83374"/>
    <w:rsid w:val="00F8683D"/>
    <w:rsid w:val="00F87856"/>
    <w:rsid w:val="00F93A08"/>
    <w:rsid w:val="00FA01B2"/>
    <w:rsid w:val="00FA7E30"/>
    <w:rsid w:val="00FA7FEA"/>
    <w:rsid w:val="00FB7512"/>
    <w:rsid w:val="00FC7BAC"/>
    <w:rsid w:val="00FD7547"/>
    <w:rsid w:val="00FE7B6D"/>
    <w:rsid w:val="00FE7F49"/>
    <w:rsid w:val="00FF258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2E9F72"/>
  <w15:docId w15:val="{C68EF227-6FDD-4F8A-94C5-B8F06FD6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D81"/>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21A4E"/>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0A4A62"/>
    <w:pPr>
      <w:keepNext/>
      <w:spacing w:before="240" w:after="240"/>
      <w:ind w:left="851" w:hanging="851"/>
      <w:outlineLvl w:val="2"/>
    </w:pPr>
    <w:rPr>
      <w:b/>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21A4E"/>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A4A62"/>
    <w:rPr>
      <w:rFonts w:ascii="Arial" w:hAnsi="Arial"/>
      <w:b/>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D6624C"/>
    <w:pPr>
      <w:tabs>
        <w:tab w:val="left" w:pos="440"/>
        <w:tab w:val="right" w:leader="dot" w:pos="9060"/>
      </w:tabs>
      <w:spacing w:before="120" w:after="120"/>
    </w:pPr>
    <w:rPr>
      <w:b/>
      <w:bCs/>
      <w:caps/>
      <w:noProof/>
      <w:sz w:val="20"/>
      <w:szCs w:val="20"/>
    </w:rPr>
  </w:style>
  <w:style w:type="paragraph" w:styleId="TOC2">
    <w:name w:val="toc 2"/>
    <w:basedOn w:val="Normal"/>
    <w:next w:val="Normal"/>
    <w:autoRedefine/>
    <w:uiPriority w:val="39"/>
    <w:rsid w:val="00D6624C"/>
    <w:pPr>
      <w:tabs>
        <w:tab w:val="left" w:pos="880"/>
        <w:tab w:val="right" w:leader="dot" w:pos="9060"/>
      </w:tabs>
      <w:ind w:left="220"/>
    </w:pPr>
    <w:rPr>
      <w:rFonts w:asciiTheme="minorHAnsi" w:hAnsiTheme="minorHAnsi"/>
      <w:smallCaps/>
      <w:noProof/>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table" w:customStyle="1" w:styleId="Table">
    <w:name w:val="Table"/>
    <w:basedOn w:val="TableNormal"/>
    <w:uiPriority w:val="99"/>
    <w:rsid w:val="00475A54"/>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character" w:customStyle="1" w:styleId="FootnoteTextChar">
    <w:name w:val="Footnote Text Char"/>
    <w:aliases w:val="Footnotes Text Char,FSFootnotes Text Char"/>
    <w:basedOn w:val="DefaultParagraphFont"/>
    <w:link w:val="FootnoteText"/>
    <w:rsid w:val="00475A54"/>
    <w:rPr>
      <w:rFonts w:ascii="Arial" w:hAnsi="Arial"/>
      <w:lang w:eastAsia="en-US" w:bidi="en-US"/>
    </w:rPr>
  </w:style>
  <w:style w:type="table" w:styleId="TableClassic4">
    <w:name w:val="Table Classic 4"/>
    <w:basedOn w:val="TableNormal"/>
    <w:rsid w:val="00475A54"/>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ARBullet">
    <w:name w:val="AAR Bullet"/>
    <w:basedOn w:val="Normal"/>
    <w:qFormat/>
    <w:rsid w:val="00475A54"/>
    <w:pPr>
      <w:widowControl/>
      <w:numPr>
        <w:numId w:val="5"/>
      </w:numPr>
      <w:spacing w:before="60" w:after="60"/>
    </w:pPr>
    <w:rPr>
      <w:rFonts w:cs="Arial"/>
      <w:sz w:val="20"/>
      <w:lang w:val="en-AU" w:bidi="ar-SA"/>
    </w:rPr>
  </w:style>
  <w:style w:type="paragraph" w:styleId="CommentSubject">
    <w:name w:val="annotation subject"/>
    <w:basedOn w:val="CommentText"/>
    <w:next w:val="CommentText"/>
    <w:link w:val="CommentSubjectChar"/>
    <w:semiHidden/>
    <w:unhideWhenUsed/>
    <w:rsid w:val="002A26CC"/>
    <w:rPr>
      <w:b/>
      <w:bCs/>
    </w:rPr>
  </w:style>
  <w:style w:type="character" w:customStyle="1" w:styleId="CommentSubjectChar">
    <w:name w:val="Comment Subject Char"/>
    <w:basedOn w:val="CommentTextChar"/>
    <w:link w:val="CommentSubject"/>
    <w:semiHidden/>
    <w:rsid w:val="002A26CC"/>
    <w:rPr>
      <w:rFonts w:ascii="Arial" w:hAnsi="Arial"/>
      <w:b/>
      <w:bCs/>
      <w:lang w:eastAsia="en-US" w:bidi="en-US"/>
    </w:rPr>
  </w:style>
  <w:style w:type="table" w:customStyle="1" w:styleId="TableClassic41">
    <w:name w:val="Table Classic 41"/>
    <w:basedOn w:val="TableNormal"/>
    <w:next w:val="TableClassic4"/>
    <w:rsid w:val="005B59CE"/>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B12243"/>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Default">
    <w:name w:val="Default"/>
    <w:rsid w:val="00C55238"/>
    <w:pPr>
      <w:autoSpaceDE w:val="0"/>
      <w:autoSpaceDN w:val="0"/>
      <w:adjustRightInd w:val="0"/>
    </w:pPr>
    <w:rPr>
      <w:rFonts w:ascii="Arial" w:eastAsiaTheme="minorHAnsi" w:hAnsi="Arial" w:cs="Arial"/>
      <w:color w:val="000000"/>
      <w:sz w:val="24"/>
      <w:szCs w:val="24"/>
      <w:lang w:eastAsia="en-US"/>
    </w:rPr>
  </w:style>
  <w:style w:type="paragraph" w:customStyle="1" w:styleId="FSTableFigureHeading">
    <w:name w:val="FSTable/Figure Heading"/>
    <w:basedOn w:val="Normal"/>
    <w:uiPriority w:val="7"/>
    <w:qFormat/>
    <w:locked/>
    <w:rsid w:val="00C0158C"/>
    <w:pPr>
      <w:widowControl/>
      <w:spacing w:before="120" w:after="120"/>
      <w:ind w:left="1134" w:hanging="1134"/>
    </w:pPr>
    <w:rPr>
      <w:rFonts w:eastAsiaTheme="minorHAnsi" w:cs="Arial"/>
      <w:b/>
      <w:i/>
      <w:color w:val="2E3037"/>
      <w:szCs w:val="22"/>
      <w:lang w:val="en-AU" w:bidi="ar-SA"/>
    </w:rPr>
  </w:style>
  <w:style w:type="character" w:styleId="PlaceholderText">
    <w:name w:val="Placeholder Text"/>
    <w:basedOn w:val="DefaultParagraphFont"/>
    <w:uiPriority w:val="99"/>
    <w:semiHidden/>
    <w:rsid w:val="00476C76"/>
    <w:rPr>
      <w:color w:val="808080"/>
    </w:rPr>
  </w:style>
  <w:style w:type="paragraph" w:styleId="ListParagraph">
    <w:name w:val="List Paragraph"/>
    <w:basedOn w:val="Normal"/>
    <w:uiPriority w:val="34"/>
    <w:rsid w:val="006F610D"/>
    <w:pPr>
      <w:widowControl/>
      <w:ind w:left="720"/>
      <w:contextualSpacing/>
    </w:pPr>
    <w:rPr>
      <w:rFonts w:eastAsiaTheme="minorHAnsi" w:cstheme="minorBidi"/>
      <w:szCs w:val="22"/>
      <w:lang w:bidi="ar-SA"/>
    </w:rPr>
  </w:style>
  <w:style w:type="paragraph" w:styleId="Revision">
    <w:name w:val="Revision"/>
    <w:hidden/>
    <w:uiPriority w:val="99"/>
    <w:semiHidden/>
    <w:rsid w:val="005F09EB"/>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817172">
      <w:bodyDiv w:val="1"/>
      <w:marLeft w:val="0"/>
      <w:marRight w:val="0"/>
      <w:marTop w:val="0"/>
      <w:marBottom w:val="0"/>
      <w:divBdr>
        <w:top w:val="none" w:sz="0" w:space="0" w:color="auto"/>
        <w:left w:val="none" w:sz="0" w:space="0" w:color="auto"/>
        <w:bottom w:val="none" w:sz="0" w:space="0" w:color="auto"/>
        <w:right w:val="none" w:sz="0" w:space="0" w:color="auto"/>
      </w:divBdr>
    </w:div>
    <w:div w:id="370152292">
      <w:bodyDiv w:val="1"/>
      <w:marLeft w:val="0"/>
      <w:marRight w:val="0"/>
      <w:marTop w:val="0"/>
      <w:marBottom w:val="0"/>
      <w:divBdr>
        <w:top w:val="none" w:sz="0" w:space="0" w:color="auto"/>
        <w:left w:val="none" w:sz="0" w:space="0" w:color="auto"/>
        <w:bottom w:val="none" w:sz="0" w:space="0" w:color="auto"/>
        <w:right w:val="none" w:sz="0" w:space="0" w:color="auto"/>
      </w:divBdr>
    </w:div>
    <w:div w:id="539785560">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64435248">
      <w:bodyDiv w:val="1"/>
      <w:marLeft w:val="0"/>
      <w:marRight w:val="0"/>
      <w:marTop w:val="0"/>
      <w:marBottom w:val="0"/>
      <w:divBdr>
        <w:top w:val="none" w:sz="0" w:space="0" w:color="auto"/>
        <w:left w:val="none" w:sz="0" w:space="0" w:color="auto"/>
        <w:bottom w:val="none" w:sz="0" w:space="0" w:color="auto"/>
        <w:right w:val="none" w:sz="0" w:space="0" w:color="auto"/>
      </w:divBdr>
    </w:div>
    <w:div w:id="808787813">
      <w:bodyDiv w:val="1"/>
      <w:marLeft w:val="0"/>
      <w:marRight w:val="0"/>
      <w:marTop w:val="0"/>
      <w:marBottom w:val="0"/>
      <w:divBdr>
        <w:top w:val="none" w:sz="0" w:space="0" w:color="auto"/>
        <w:left w:val="none" w:sz="0" w:space="0" w:color="auto"/>
        <w:bottom w:val="none" w:sz="0" w:space="0" w:color="auto"/>
        <w:right w:val="none" w:sz="0" w:space="0" w:color="auto"/>
      </w:divBdr>
    </w:div>
    <w:div w:id="1144279866">
      <w:bodyDiv w:val="1"/>
      <w:marLeft w:val="0"/>
      <w:marRight w:val="0"/>
      <w:marTop w:val="0"/>
      <w:marBottom w:val="0"/>
      <w:divBdr>
        <w:top w:val="none" w:sz="0" w:space="0" w:color="auto"/>
        <w:left w:val="none" w:sz="0" w:space="0" w:color="auto"/>
        <w:bottom w:val="none" w:sz="0" w:space="0" w:color="auto"/>
        <w:right w:val="none" w:sz="0" w:space="0" w:color="auto"/>
      </w:divBdr>
    </w:div>
    <w:div w:id="135607512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790316259">
      <w:bodyDiv w:val="1"/>
      <w:marLeft w:val="0"/>
      <w:marRight w:val="0"/>
      <w:marTop w:val="0"/>
      <w:marBottom w:val="0"/>
      <w:divBdr>
        <w:top w:val="none" w:sz="0" w:space="0" w:color="auto"/>
        <w:left w:val="none" w:sz="0" w:space="0" w:color="auto"/>
        <w:bottom w:val="none" w:sz="0" w:space="0" w:color="auto"/>
        <w:right w:val="none" w:sz="0" w:space="0" w:color="auto"/>
      </w:divBdr>
    </w:div>
    <w:div w:id="1862746107">
      <w:bodyDiv w:val="1"/>
      <w:marLeft w:val="0"/>
      <w:marRight w:val="0"/>
      <w:marTop w:val="0"/>
      <w:marBottom w:val="0"/>
      <w:divBdr>
        <w:top w:val="none" w:sz="0" w:space="0" w:color="auto"/>
        <w:left w:val="none" w:sz="0" w:space="0" w:color="auto"/>
        <w:bottom w:val="none" w:sz="0" w:space="0" w:color="auto"/>
        <w:right w:val="none" w:sz="0" w:space="0" w:color="auto"/>
      </w:divBdr>
    </w:div>
    <w:div w:id="1883785471">
      <w:bodyDiv w:val="1"/>
      <w:marLeft w:val="0"/>
      <w:marRight w:val="0"/>
      <w:marTop w:val="0"/>
      <w:marBottom w:val="0"/>
      <w:divBdr>
        <w:top w:val="none" w:sz="0" w:space="0" w:color="auto"/>
        <w:left w:val="none" w:sz="0" w:space="0" w:color="auto"/>
        <w:bottom w:val="none" w:sz="0" w:space="0" w:color="auto"/>
        <w:right w:val="none" w:sz="0" w:space="0" w:color="auto"/>
      </w:divBdr>
    </w:div>
    <w:div w:id="2111118086">
      <w:bodyDiv w:val="1"/>
      <w:marLeft w:val="0"/>
      <w:marRight w:val="0"/>
      <w:marTop w:val="0"/>
      <w:marBottom w:val="0"/>
      <w:divBdr>
        <w:top w:val="none" w:sz="0" w:space="0" w:color="auto"/>
        <w:left w:val="none" w:sz="0" w:space="0" w:color="auto"/>
        <w:bottom w:val="none" w:sz="0" w:space="0" w:color="auto"/>
        <w:right w:val="none" w:sz="0" w:space="0" w:color="auto"/>
      </w:divBdr>
    </w:div>
    <w:div w:id="21321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26" Type="http://schemas.openxmlformats.org/officeDocument/2006/relationships/hyperlink" Target="https://www.qmul.ac.uk/sbcs/iubmb/enzyme/EC34/3421.html" TargetMode="External"/><Relationship Id="rId3" Type="http://schemas.openxmlformats.org/officeDocument/2006/relationships/customXml" Target="../customXml/item3.xml"/><Relationship Id="rId21" Type="http://schemas.openxmlformats.org/officeDocument/2006/relationships/hyperlink" Target="http://www.allergenonline.org/"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hyperlink" Target="https://www.foodstandards.gov.au/code/proposals/Pages/P1031Allergenlabellingexemptions.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lustal.org/clustal2/" TargetMode="External"/><Relationship Id="rId29" Type="http://schemas.openxmlformats.org/officeDocument/2006/relationships/fontTable" Target="fontTable.xml"/><Relationship Id="rId1" Type="http://schemas.openxmlformats.org/officeDocument/2006/relationships/customXml" Target="../customXml/item1.xml"/><Relationship Id="rId24" Type="http://schemas.openxmlformats.org/officeDocument/2006/relationships/hyperlink" Target="https://www.govinfo.gov/content/pkg/FR-1999-04-23/pdf/99-10011.pdf" TargetMode="External"/><Relationship Id="rId11" Type="http://schemas.openxmlformats.org/officeDocument/2006/relationships/settings" Target="settings.xml"/><Relationship Id="rId28" Type="http://schemas.openxmlformats.org/officeDocument/2006/relationships/hyperlink" Target="http://osp.od.nih.gov/office-biotechnology-activities/biosafety/nih-guidelines" TargetMode="External"/><Relationship Id="rId15" Type="http://schemas.openxmlformats.org/officeDocument/2006/relationships/image" Target="media/image1.png"/><Relationship Id="rId23" Type="http://schemas.openxmlformats.org/officeDocument/2006/relationships/hyperlink" Target="http://www.epa.gov/oppt/biotech/pubs/fra/fra005.htm.%20Accessed%2028%20August%202010" TargetMode="External"/><Relationship Id="rId10" Type="http://schemas.openxmlformats.org/officeDocument/2006/relationships/styles" Target="styles.xml"/><Relationship Id="rId19" Type="http://schemas.openxmlformats.org/officeDocument/2006/relationships/hyperlink" Target="http://www.uniprot.org/" TargetMode="External"/><Relationship Id="rId30" Type="http://schemas.openxmlformats.org/officeDocument/2006/relationships/theme" Target="theme/theme1.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allergen.org/" TargetMode="External"/><Relationship Id="rId27" Type="http://schemas.openxmlformats.org/officeDocument/2006/relationships/hyperlink" Target="http://www.fao.org/food/food-safety-quality/scientific-advice/jecfa/jecfa-additives/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fsanappsexternal.fda.gov/scripts/fdcc/index.cfm?set=GRASNotices&amp;id=7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15F1-D86C-4FDD-85F7-7B0B68165570}"/>
</file>

<file path=customXml/itemProps2.xml><?xml version="1.0" encoding="utf-8"?>
<ds:datastoreItem xmlns:ds="http://schemas.openxmlformats.org/officeDocument/2006/customXml" ds:itemID="{01AE8434-E4CC-4DEB-B10E-1F5611C5FA60}"/>
</file>

<file path=customXml/itemProps3.xml><?xml version="1.0" encoding="utf-8"?>
<ds:datastoreItem xmlns:ds="http://schemas.openxmlformats.org/officeDocument/2006/customXml" ds:itemID="{BF303842-6CAF-44A1-AC16-C84FBA46CF83}"/>
</file>

<file path=customXml/itemProps4.xml><?xml version="1.0" encoding="utf-8"?>
<ds:datastoreItem xmlns:ds="http://schemas.openxmlformats.org/officeDocument/2006/customXml" ds:itemID="{83898E69-DFC6-416F-95E9-8F5CD8AABD9F}">
  <ds:schemaRefs>
    <ds:schemaRef ds:uri="Microsoft.SharePoint.Taxonomy.ContentTypeSync"/>
  </ds:schemaRefs>
</ds:datastoreItem>
</file>

<file path=customXml/itemProps5.xml><?xml version="1.0" encoding="utf-8"?>
<ds:datastoreItem xmlns:ds="http://schemas.openxmlformats.org/officeDocument/2006/customXml" ds:itemID="{D3A80334-5EC6-4C10-ABD8-4FD286EA8E28}">
  <ds:schemaRefs>
    <ds:schemaRef ds:uri="http://schemas.microsoft.com/office/2006/metadata/customXsn"/>
  </ds:schemaRefs>
</ds:datastoreItem>
</file>

<file path=customXml/itemProps6.xml><?xml version="1.0" encoding="utf-8"?>
<ds:datastoreItem xmlns:ds="http://schemas.openxmlformats.org/officeDocument/2006/customXml" ds:itemID="{27729B79-0C8B-4363-811A-86B58ECD00A1}">
  <ds:schemaRefs>
    <ds:schemaRef ds:uri="http://schemas.microsoft.com/sharepoint/events"/>
  </ds:schemaRefs>
</ds:datastoreItem>
</file>

<file path=customXml/itemProps7.xml><?xml version="1.0" encoding="utf-8"?>
<ds:datastoreItem xmlns:ds="http://schemas.openxmlformats.org/officeDocument/2006/customXml" ds:itemID="{C9D99740-FAB7-47BF-BC5B-1817C77F85C8}"/>
</file>

<file path=customXml/itemProps8.xml><?xml version="1.0" encoding="utf-8"?>
<ds:datastoreItem xmlns:ds="http://schemas.openxmlformats.org/officeDocument/2006/customXml" ds:itemID="{5C620ABE-D38E-4A75-86F7-8D3514623B5C}"/>
</file>

<file path=docProps/app.xml><?xml version="1.0" encoding="utf-8"?>
<Properties xmlns="http://schemas.openxmlformats.org/officeDocument/2006/extended-properties" xmlns:vt="http://schemas.openxmlformats.org/officeDocument/2006/docPropsVTypes">
  <Template>Normal</Template>
  <TotalTime>4</TotalTime>
  <Pages>17</Pages>
  <Words>6884</Words>
  <Characters>39241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46033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Tailee Vecchi</cp:lastModifiedBy>
  <cp:revision>3</cp:revision>
  <cp:lastPrinted>2020-10-14T20:22:00Z</cp:lastPrinted>
  <dcterms:created xsi:type="dcterms:W3CDTF">2021-05-10T00:33:00Z</dcterms:created>
  <dcterms:modified xsi:type="dcterms:W3CDTF">2021-05-10T00:37:00Z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ad825e96-65bd-46f5-a465-ee61e9e77282</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315;#GOVERNING BODIES:Board meetings:Agenda papers|6e530783-c5c6-4772-93f9-dbabdcf97c03</vt:lpwstr>
  </property>
  <property fmtid="{D5CDD505-2E9C-101B-9397-08002B2CF9AE}" pid="7" name="_dlc_DocIdItemGuid">
    <vt:lpwstr>e3d1d4ae-8a4d-4198-9236-5cb749670080</vt:lpwstr>
  </property>
  <property fmtid="{D5CDD505-2E9C-101B-9397-08002B2CF9AE}" pid="8" name="RecordPoint_WorkflowType">
    <vt:lpwstr>ActiveSubmitStub</vt:lpwstr>
  </property>
  <property fmtid="{D5CDD505-2E9C-101B-9397-08002B2CF9AE}" pid="9" name="RecordPoint_ActiveItemUniqueId">
    <vt:lpwstr>{d956c01e-ae7d-4348-b612-fe8750f952a5}</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SubmissionCompleted">
    <vt:lpwstr>2021-04-12T14:11:10.7408884+10:00</vt:lpwstr>
  </property>
  <property fmtid="{D5CDD505-2E9C-101B-9397-08002B2CF9AE}" pid="14" name="RecordPoint_RecordNumberSubmitted">
    <vt:lpwstr>R0000144315</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9" name="bjDocumentLabelXML-0">
    <vt:lpwstr>ames.com/2008/01/sie/internal/label"&gt;&lt;element uid="66ddac19-06c4-4e63-b4dd-d8240d87a23f" value="" /&gt;&lt;/sisl&gt;</vt:lpwstr>
  </property>
  <property fmtid="{D5CDD505-2E9C-101B-9397-08002B2CF9AE}" pid="20" name="bjDocumentSecurityLabel">
    <vt:lpwstr>NO SECURITY CLASSIFICATION REQUIRED</vt:lpwstr>
  </property>
</Properties>
</file>